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AE1CCA">
      <w:pPr>
        <w:jc w:val="center"/>
        <w:rPr>
          <w:sz w:val="28"/>
          <w:szCs w:val="28"/>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p>
    <w:p w:rsidR="00000000" w:rsidRDefault="00AE1CCA">
      <w:pPr>
        <w:jc w:val="center"/>
        <w:rPr>
          <w:sz w:val="28"/>
          <w:szCs w:val="28"/>
        </w:rPr>
      </w:pPr>
      <w:r>
        <w:rPr>
          <w:sz w:val="28"/>
          <w:szCs w:val="28"/>
        </w:rPr>
        <w:t>No. 21-CV-31</w:t>
      </w:r>
    </w:p>
    <w:p w:rsidR="00000000" w:rsidRDefault="00AE1CCA">
      <w:pPr>
        <w:jc w:val="center"/>
        <w:rPr>
          <w:rFonts w:ascii="Old English Text MT" w:hAnsi="Old English Text MT" w:cs="Old English Text MT"/>
          <w:sz w:val="36"/>
          <w:szCs w:val="36"/>
        </w:rPr>
      </w:pPr>
      <w:r>
        <w:rPr>
          <w:sz w:val="28"/>
          <w:szCs w:val="28"/>
        </w:rPr>
        <w:t>_____________________________</w:t>
      </w:r>
    </w:p>
    <w:p w:rsidR="00000000" w:rsidRDefault="00AE1CCA">
      <w:pPr>
        <w:jc w:val="center"/>
        <w:rPr>
          <w:rFonts w:ascii="Old English Text MT" w:hAnsi="Old English Text MT" w:cs="Old English Text MT"/>
          <w:sz w:val="36"/>
          <w:szCs w:val="36"/>
        </w:rPr>
      </w:pPr>
    </w:p>
    <w:p w:rsidR="00000000" w:rsidRDefault="00AE1CCA">
      <w:pPr>
        <w:jc w:val="center"/>
        <w:rPr>
          <w:sz w:val="24"/>
          <w:szCs w:val="24"/>
        </w:rPr>
      </w:pPr>
      <w:r>
        <w:rPr>
          <w:rFonts w:ascii="Olde English" w:hAnsi="Olde English" w:cs="Olde English"/>
          <w:sz w:val="44"/>
          <w:szCs w:val="44"/>
        </w:rPr>
        <w:t>District of Columbia Court of Appeals</w:t>
      </w:r>
    </w:p>
    <w:p w:rsidR="00000000" w:rsidRDefault="00AE1CCA">
      <w:pPr>
        <w:jc w:val="center"/>
        <w:rPr>
          <w:sz w:val="28"/>
          <w:szCs w:val="28"/>
        </w:rPr>
      </w:pPr>
      <w:r>
        <w:rPr>
          <w:sz w:val="28"/>
          <w:szCs w:val="28"/>
        </w:rPr>
        <w:t>_____________________________</w:t>
      </w:r>
    </w:p>
    <w:p w:rsidR="00000000" w:rsidRDefault="00AE1CCA">
      <w:pPr>
        <w:rPr>
          <w:sz w:val="28"/>
          <w:szCs w:val="28"/>
        </w:rPr>
      </w:pP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000000" w:rsidRDefault="00AE1CCA">
      <w:pPr>
        <w:jc w:val="center"/>
        <w:rPr>
          <w:sz w:val="28"/>
          <w:szCs w:val="28"/>
        </w:rPr>
      </w:pPr>
    </w:p>
    <w:p w:rsidR="00000000" w:rsidRDefault="00AE1CCA">
      <w:pPr>
        <w:jc w:val="center"/>
        <w:rPr>
          <w:sz w:val="28"/>
          <w:szCs w:val="28"/>
        </w:rPr>
      </w:pPr>
      <w:r>
        <w:rPr>
          <w:smallCaps/>
          <w:sz w:val="28"/>
          <w:szCs w:val="28"/>
        </w:rPr>
        <w:t>Tax Analysts and Aaron Davis,</w:t>
      </w:r>
    </w:p>
    <w:p w:rsidR="00000000" w:rsidRDefault="00AE1CCA">
      <w:pPr>
        <w:jc w:val="center"/>
        <w:rPr>
          <w:sz w:val="28"/>
          <w:szCs w:val="28"/>
        </w:rPr>
      </w:pP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i/>
          <w:iCs/>
          <w:sz w:val="28"/>
          <w:szCs w:val="28"/>
        </w:rPr>
        <w:tab/>
      </w:r>
      <w:r>
        <w:rPr>
          <w:i/>
          <w:iCs/>
          <w:sz w:val="28"/>
          <w:szCs w:val="28"/>
        </w:rPr>
        <w:tab/>
      </w:r>
      <w:r>
        <w:rPr>
          <w:i/>
          <w:iCs/>
          <w:sz w:val="28"/>
          <w:szCs w:val="28"/>
        </w:rPr>
        <w:tab/>
      </w:r>
      <w:r>
        <w:rPr>
          <w:i/>
          <w:iCs/>
          <w:sz w:val="28"/>
          <w:szCs w:val="28"/>
        </w:rPr>
        <w:tab/>
      </w:r>
      <w:r>
        <w:rPr>
          <w:i/>
          <w:iCs/>
          <w:sz w:val="28"/>
          <w:szCs w:val="28"/>
        </w:rPr>
        <w:tab/>
      </w:r>
      <w:r>
        <w:rPr>
          <w:i/>
          <w:iCs/>
          <w:sz w:val="28"/>
          <w:szCs w:val="28"/>
        </w:rPr>
        <w:tab/>
      </w:r>
      <w:r>
        <w:rPr>
          <w:i/>
          <w:iCs/>
          <w:sz w:val="28"/>
          <w:szCs w:val="28"/>
        </w:rPr>
        <w:tab/>
      </w:r>
      <w:r>
        <w:rPr>
          <w:i/>
          <w:iCs/>
          <w:sz w:val="28"/>
          <w:szCs w:val="28"/>
        </w:rPr>
        <w:tab/>
        <w:t>Plaintiffs-Appellants,</w:t>
      </w:r>
    </w:p>
    <w:p w:rsidR="00000000" w:rsidRDefault="00AE1CCA">
      <w:pPr>
        <w:rPr>
          <w:sz w:val="28"/>
          <w:szCs w:val="28"/>
        </w:rPr>
      </w:pPr>
      <w:r>
        <w:rPr>
          <w:sz w:val="28"/>
          <w:szCs w:val="28"/>
        </w:rPr>
        <w:t xml:space="preserve"> </w:t>
      </w:r>
    </w:p>
    <w:p w:rsidR="00000000" w:rsidRDefault="00AE1CCA">
      <w:pPr>
        <w:jc w:val="center"/>
        <w:rPr>
          <w:sz w:val="28"/>
          <w:szCs w:val="28"/>
        </w:rPr>
      </w:pPr>
      <w:proofErr w:type="gramStart"/>
      <w:r>
        <w:rPr>
          <w:sz w:val="28"/>
          <w:szCs w:val="28"/>
        </w:rPr>
        <w:t>v</w:t>
      </w:r>
      <w:proofErr w:type="gramEnd"/>
      <w:r>
        <w:rPr>
          <w:sz w:val="28"/>
          <w:szCs w:val="28"/>
        </w:rPr>
        <w:t>.</w:t>
      </w:r>
    </w:p>
    <w:p w:rsidR="00000000" w:rsidRDefault="00AE1CCA">
      <w:pPr>
        <w:jc w:val="center"/>
        <w:rPr>
          <w:sz w:val="28"/>
          <w:szCs w:val="28"/>
        </w:rPr>
      </w:pPr>
    </w:p>
    <w:p w:rsidR="00000000" w:rsidRDefault="00AE1CCA">
      <w:pPr>
        <w:jc w:val="center"/>
        <w:rPr>
          <w:sz w:val="28"/>
          <w:szCs w:val="28"/>
        </w:rPr>
      </w:pPr>
      <w:r>
        <w:rPr>
          <w:smallCaps/>
          <w:sz w:val="28"/>
          <w:szCs w:val="28"/>
        </w:rPr>
        <w:t>District of Columbia,</w:t>
      </w:r>
    </w:p>
    <w:p w:rsidR="00000000" w:rsidRDefault="00AE1CCA">
      <w:pPr>
        <w:jc w:val="center"/>
        <w:rPr>
          <w:sz w:val="28"/>
          <w:szCs w:val="28"/>
        </w:rPr>
      </w:pP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i/>
          <w:iCs/>
          <w:sz w:val="28"/>
          <w:szCs w:val="28"/>
        </w:rPr>
        <w:t xml:space="preserve">Defendant-Appellee. </w:t>
      </w:r>
    </w:p>
    <w:p w:rsidR="00000000" w:rsidRDefault="00AE1CCA">
      <w:pPr>
        <w:jc w:val="center"/>
        <w:rPr>
          <w:sz w:val="28"/>
          <w:szCs w:val="28"/>
        </w:rPr>
      </w:pPr>
    </w:p>
    <w:p w:rsidR="00000000" w:rsidRDefault="00AE1CCA">
      <w:pPr>
        <w:jc w:val="center"/>
        <w:rPr>
          <w:sz w:val="28"/>
          <w:szCs w:val="28"/>
        </w:rPr>
      </w:pPr>
    </w:p>
    <w:p w:rsidR="00000000" w:rsidRDefault="00AE1CCA">
      <w:pPr>
        <w:jc w:val="center"/>
        <w:rPr>
          <w:sz w:val="28"/>
          <w:szCs w:val="28"/>
        </w:rPr>
      </w:pPr>
      <w:r>
        <w:rPr>
          <w:sz w:val="28"/>
          <w:szCs w:val="28"/>
        </w:rPr>
        <w:t xml:space="preserve">_____________________________________________  </w:t>
      </w:r>
    </w:p>
    <w:p w:rsidR="00000000" w:rsidRDefault="00AE1CCA">
      <w:pPr>
        <w:jc w:val="center"/>
        <w:rPr>
          <w:sz w:val="28"/>
          <w:szCs w:val="28"/>
        </w:rPr>
      </w:pPr>
    </w:p>
    <w:p w:rsidR="00000000" w:rsidRDefault="00AE1CCA">
      <w:pPr>
        <w:jc w:val="center"/>
        <w:rPr>
          <w:i/>
          <w:iCs/>
          <w:sz w:val="28"/>
          <w:szCs w:val="28"/>
        </w:rPr>
      </w:pPr>
      <w:proofErr w:type="gramStart"/>
      <w:r>
        <w:rPr>
          <w:i/>
          <w:iCs/>
          <w:sz w:val="28"/>
          <w:szCs w:val="28"/>
        </w:rPr>
        <w:t>On  Appeal</w:t>
      </w:r>
      <w:proofErr w:type="gramEnd"/>
      <w:r>
        <w:rPr>
          <w:i/>
          <w:iCs/>
          <w:sz w:val="28"/>
          <w:szCs w:val="28"/>
        </w:rPr>
        <w:t xml:space="preserve"> from the Superior Court of</w:t>
      </w:r>
    </w:p>
    <w:p w:rsidR="00000000" w:rsidRDefault="00AE1CCA">
      <w:pPr>
        <w:jc w:val="center"/>
        <w:rPr>
          <w:sz w:val="28"/>
          <w:szCs w:val="28"/>
        </w:rPr>
      </w:pPr>
      <w:proofErr w:type="gramStart"/>
      <w:r>
        <w:rPr>
          <w:i/>
          <w:iCs/>
          <w:sz w:val="28"/>
          <w:szCs w:val="28"/>
        </w:rPr>
        <w:t>of</w:t>
      </w:r>
      <w:proofErr w:type="gramEnd"/>
      <w:r>
        <w:rPr>
          <w:i/>
          <w:iCs/>
          <w:sz w:val="28"/>
          <w:szCs w:val="28"/>
        </w:rPr>
        <w:t xml:space="preserve"> the District of Columbia, Civil Division</w:t>
      </w:r>
    </w:p>
    <w:p w:rsidR="00000000" w:rsidRDefault="00AE1CCA">
      <w:pPr>
        <w:jc w:val="center"/>
        <w:rPr>
          <w:sz w:val="28"/>
          <w:szCs w:val="28"/>
        </w:rPr>
      </w:pPr>
      <w:r>
        <w:rPr>
          <w:sz w:val="28"/>
          <w:szCs w:val="28"/>
        </w:rPr>
        <w:t>_____________________________________________</w:t>
      </w:r>
    </w:p>
    <w:p w:rsidR="00000000" w:rsidRDefault="00AE1CCA">
      <w:pPr>
        <w:jc w:val="center"/>
        <w:rPr>
          <w:sz w:val="28"/>
          <w:szCs w:val="28"/>
        </w:rPr>
      </w:pPr>
    </w:p>
    <w:p w:rsidR="00000000" w:rsidRDefault="00AE1CCA">
      <w:pPr>
        <w:jc w:val="center"/>
        <w:rPr>
          <w:sz w:val="28"/>
          <w:szCs w:val="28"/>
        </w:rPr>
      </w:pPr>
      <w:r>
        <w:rPr>
          <w:b/>
          <w:bCs/>
          <w:sz w:val="28"/>
          <w:szCs w:val="28"/>
        </w:rPr>
        <w:t>BRIEF FOR PLAINTIFFS-APPELLANTS</w:t>
      </w:r>
    </w:p>
    <w:p w:rsidR="00000000" w:rsidRDefault="00AE1CCA">
      <w:pPr>
        <w:jc w:val="center"/>
        <w:rPr>
          <w:sz w:val="28"/>
          <w:szCs w:val="28"/>
        </w:rPr>
      </w:pPr>
      <w:r>
        <w:rPr>
          <w:sz w:val="28"/>
          <w:szCs w:val="28"/>
        </w:rPr>
        <w:t>____________________________________________</w:t>
      </w:r>
    </w:p>
    <w:p w:rsidR="00000000" w:rsidRDefault="00AE1CCA">
      <w:pPr>
        <w:jc w:val="center"/>
        <w:rPr>
          <w:sz w:val="28"/>
          <w:szCs w:val="28"/>
        </w:rPr>
      </w:pPr>
    </w:p>
    <w:p w:rsidR="00000000" w:rsidRDefault="00AE1CCA">
      <w:pPr>
        <w:jc w:val="center"/>
        <w:rPr>
          <w:sz w:val="28"/>
          <w:szCs w:val="28"/>
        </w:rPr>
      </w:pP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t>Cornish F. Hitchcock</w:t>
      </w: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(D.C. </w:t>
      </w:r>
      <w:proofErr w:type="gramStart"/>
      <w:r>
        <w:rPr>
          <w:sz w:val="28"/>
          <w:szCs w:val="28"/>
        </w:rPr>
        <w:t>Bar</w:t>
      </w:r>
      <w:proofErr w:type="gramEnd"/>
      <w:r>
        <w:rPr>
          <w:sz w:val="28"/>
          <w:szCs w:val="28"/>
        </w:rPr>
        <w:t xml:space="preserve"> No. 238824)</w:t>
      </w:r>
    </w:p>
    <w:p w:rsidR="00000000" w:rsidRDefault="00AE1CCA">
      <w:pPr>
        <w:rPr>
          <w:smallCaps/>
          <w:sz w:val="28"/>
          <w:szCs w:val="28"/>
        </w:rPr>
      </w:pPr>
      <w:r>
        <w:rPr>
          <w:sz w:val="28"/>
          <w:szCs w:val="28"/>
        </w:rPr>
        <w:tab/>
      </w:r>
      <w:r>
        <w:rPr>
          <w:sz w:val="28"/>
          <w:szCs w:val="28"/>
        </w:rPr>
        <w:tab/>
      </w:r>
      <w:r>
        <w:rPr>
          <w:sz w:val="28"/>
          <w:szCs w:val="28"/>
        </w:rPr>
        <w:tab/>
      </w:r>
      <w:r>
        <w:rPr>
          <w:sz w:val="28"/>
          <w:szCs w:val="28"/>
        </w:rPr>
        <w:tab/>
      </w:r>
      <w:r>
        <w:rPr>
          <w:sz w:val="28"/>
          <w:szCs w:val="28"/>
        </w:rPr>
        <w:tab/>
      </w:r>
      <w:r>
        <w:rPr>
          <w:smallCaps/>
          <w:sz w:val="28"/>
          <w:szCs w:val="28"/>
        </w:rPr>
        <w:t xml:space="preserve">  Hitchcock Law Firm pllc</w:t>
      </w: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5614 Connecticut Avenue, NW, No. 304</w:t>
      </w: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Washington, D.C.   20015-2604</w:t>
      </w: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(202) 489-4813</w:t>
      </w:r>
    </w:p>
    <w:p w:rsidR="00000000" w:rsidRDefault="00AE1CCA">
      <w:pPr>
        <w:rPr>
          <w:sz w:val="28"/>
          <w:szCs w:val="28"/>
        </w:rPr>
      </w:pPr>
      <w:r>
        <w:rPr>
          <w:sz w:val="28"/>
          <w:szCs w:val="28"/>
        </w:rPr>
        <w:tab/>
      </w:r>
      <w:r>
        <w:rPr>
          <w:sz w:val="28"/>
          <w:szCs w:val="28"/>
        </w:rPr>
        <w:tab/>
      </w:r>
      <w:r>
        <w:rPr>
          <w:sz w:val="28"/>
          <w:szCs w:val="28"/>
        </w:rPr>
        <w:tab/>
      </w:r>
      <w:r>
        <w:rPr>
          <w:sz w:val="28"/>
          <w:szCs w:val="28"/>
        </w:rPr>
        <w:tab/>
      </w:r>
      <w:r>
        <w:rPr>
          <w:sz w:val="28"/>
          <w:szCs w:val="28"/>
        </w:rPr>
        <w:tab/>
        <w:t xml:space="preserve">  conh@hitchlaw.com</w:t>
      </w:r>
    </w:p>
    <w:p w:rsidR="00000000" w:rsidRDefault="00AE1CCA">
      <w:pPr>
        <w:tabs>
          <w:tab w:val="left" w:pos="720"/>
          <w:tab w:val="left" w:pos="1440"/>
          <w:tab w:val="left" w:pos="2160"/>
        </w:tabs>
        <w:ind w:left="2160" w:hanging="2160"/>
        <w:rPr>
          <w:sz w:val="28"/>
          <w:szCs w:val="28"/>
        </w:rPr>
      </w:pPr>
      <w:r>
        <w:rPr>
          <w:sz w:val="28"/>
          <w:szCs w:val="28"/>
        </w:rPr>
        <w:t>31 March 2021</w:t>
      </w:r>
      <w:r>
        <w:rPr>
          <w:sz w:val="28"/>
          <w:szCs w:val="28"/>
        </w:rPr>
        <w:tab/>
      </w:r>
      <w:r>
        <w:rPr>
          <w:sz w:val="28"/>
          <w:szCs w:val="28"/>
        </w:rPr>
        <w:tab/>
      </w:r>
      <w:r>
        <w:rPr>
          <w:sz w:val="28"/>
          <w:szCs w:val="28"/>
        </w:rPr>
        <w:tab/>
      </w:r>
      <w:r>
        <w:rPr>
          <w:i/>
          <w:iCs/>
          <w:sz w:val="28"/>
          <w:szCs w:val="28"/>
        </w:rPr>
        <w:t xml:space="preserve">Attorney </w:t>
      </w:r>
      <w:proofErr w:type="gramStart"/>
      <w:r>
        <w:rPr>
          <w:i/>
          <w:iCs/>
          <w:sz w:val="28"/>
          <w:szCs w:val="28"/>
        </w:rPr>
        <w:t>for  Plaintiffs</w:t>
      </w:r>
      <w:proofErr w:type="gramEnd"/>
      <w:r>
        <w:rPr>
          <w:i/>
          <w:iCs/>
          <w:sz w:val="28"/>
          <w:szCs w:val="28"/>
        </w:rPr>
        <w:t>-Appellants</w:t>
      </w:r>
    </w:p>
    <w:p w:rsidR="00000000" w:rsidRDefault="00AE1CCA">
      <w:pPr>
        <w:tabs>
          <w:tab w:val="left" w:pos="720"/>
          <w:tab w:val="left" w:pos="1440"/>
          <w:tab w:val="left" w:pos="2160"/>
        </w:tabs>
        <w:ind w:left="2160" w:hanging="2160"/>
        <w:rPr>
          <w:sz w:val="28"/>
          <w:szCs w:val="28"/>
        </w:rPr>
        <w:sectPr w:rsidR="00000000">
          <w:footerReference w:type="default" r:id="rId6"/>
          <w:type w:val="continuous"/>
          <w:pgSz w:w="12240" w:h="15840"/>
          <w:pgMar w:top="1440" w:right="1440" w:bottom="1440" w:left="1440" w:header="1440" w:footer="1440" w:gutter="0"/>
          <w:cols w:space="720"/>
          <w:noEndnote/>
          <w:titlePg/>
        </w:sectPr>
      </w:pPr>
    </w:p>
    <w:p w:rsidR="00000000" w:rsidRDefault="00AE1CCA">
      <w:pPr>
        <w:jc w:val="center"/>
        <w:rPr>
          <w:sz w:val="24"/>
          <w:szCs w:val="24"/>
        </w:rPr>
      </w:pPr>
      <w:r>
        <w:rPr>
          <w:rFonts w:ascii="Olde English" w:hAnsi="Olde English" w:cs="Olde English"/>
          <w:sz w:val="40"/>
          <w:szCs w:val="40"/>
        </w:rPr>
        <w:lastRenderedPageBreak/>
        <w:t>District of Columbia Court of Appeals</w:t>
      </w:r>
    </w:p>
    <w:p w:rsidR="00000000" w:rsidRDefault="00AE1CCA">
      <w:pPr>
        <w:rPr>
          <w:sz w:val="28"/>
          <w:szCs w:val="28"/>
        </w:rPr>
      </w:pPr>
      <w:r>
        <w:rPr>
          <w:sz w:val="28"/>
          <w:szCs w:val="28"/>
        </w:rPr>
        <w:t>_________________________________________</w:t>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 xml:space="preserve">TAX ANALYSTS and AARON DAVIS, </w:t>
      </w:r>
      <w:r>
        <w:rPr>
          <w:sz w:val="28"/>
          <w:szCs w:val="28"/>
        </w:rPr>
        <w:tab/>
        <w:t xml:space="preserve"> </w:t>
      </w:r>
      <w:r w:rsidR="00256085">
        <w:rPr>
          <w:sz w:val="28"/>
          <w:szCs w:val="28"/>
        </w:rPr>
        <w:t xml:space="preserve">      </w:t>
      </w:r>
      <w:r>
        <w:rPr>
          <w:sz w:val="28"/>
          <w:szCs w:val="28"/>
        </w:rPr>
        <w:t>)</w:t>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000000" w:rsidRDefault="00AE1CCA">
      <w:pPr>
        <w:tabs>
          <w:tab w:val="left" w:pos="720"/>
          <w:tab w:val="left" w:pos="1440"/>
          <w:tab w:val="left" w:pos="2160"/>
          <w:tab w:val="left" w:pos="2880"/>
          <w:tab w:val="left" w:pos="3600"/>
          <w:tab w:val="left" w:pos="4320"/>
          <w:tab w:val="left" w:pos="5040"/>
          <w:tab w:val="left" w:pos="5760"/>
        </w:tabs>
        <w:ind w:left="5760" w:hanging="2880"/>
        <w:rPr>
          <w:sz w:val="28"/>
          <w:szCs w:val="28"/>
        </w:rPr>
      </w:pPr>
      <w:r>
        <w:rPr>
          <w:i/>
          <w:iCs/>
          <w:sz w:val="28"/>
          <w:szCs w:val="28"/>
        </w:rPr>
        <w:t xml:space="preserve">Plaintiffs-Appellants, </w:t>
      </w:r>
      <w:r>
        <w:rPr>
          <w:sz w:val="28"/>
          <w:szCs w:val="28"/>
        </w:rPr>
        <w:tab/>
        <w:t xml:space="preserve"> )</w:t>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000000" w:rsidRDefault="00AE1CCA">
      <w:pPr>
        <w:tabs>
          <w:tab w:val="left" w:pos="720"/>
          <w:tab w:val="left" w:pos="1440"/>
          <w:tab w:val="left" w:pos="2160"/>
          <w:tab w:val="left" w:pos="2880"/>
          <w:tab w:val="left" w:pos="3600"/>
          <w:tab w:val="left" w:pos="4320"/>
          <w:tab w:val="left" w:pos="5040"/>
          <w:tab w:val="left" w:pos="5760"/>
          <w:tab w:val="left" w:pos="6480"/>
        </w:tabs>
        <w:ind w:left="6480" w:hanging="6480"/>
        <w:rPr>
          <w:sz w:val="28"/>
          <w:szCs w:val="28"/>
        </w:rPr>
      </w:pPr>
      <w:r>
        <w:rPr>
          <w:sz w:val="28"/>
          <w:szCs w:val="28"/>
        </w:rPr>
        <w:tab/>
        <w:t>v.</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w:t>
      </w:r>
      <w:r>
        <w:rPr>
          <w:sz w:val="28"/>
          <w:szCs w:val="28"/>
        </w:rPr>
        <w:tab/>
        <w:t xml:space="preserve">No. 21-CV-31 </w:t>
      </w:r>
    </w:p>
    <w:p w:rsidR="00000000" w:rsidRDefault="00AE1CCA">
      <w:pPr>
        <w:tabs>
          <w:tab w:val="left" w:pos="720"/>
          <w:tab w:val="left" w:pos="1440"/>
          <w:tab w:val="left" w:pos="2160"/>
          <w:tab w:val="left" w:pos="2880"/>
          <w:tab w:val="left" w:pos="3600"/>
          <w:tab w:val="left" w:pos="4320"/>
          <w:tab w:val="left" w:pos="5040"/>
          <w:tab w:val="left" w:pos="5760"/>
          <w:tab w:val="left" w:pos="6480"/>
        </w:tabs>
        <w:ind w:left="6480" w:hanging="648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w:t>
      </w:r>
      <w:r>
        <w:rPr>
          <w:sz w:val="28"/>
          <w:szCs w:val="28"/>
        </w:rPr>
        <w:tab/>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DISTRICT OF COLUMBIA</w:t>
      </w:r>
      <w:proofErr w:type="gramStart"/>
      <w:r>
        <w:rPr>
          <w:sz w:val="28"/>
          <w:szCs w:val="28"/>
        </w:rPr>
        <w:t>,</w:t>
      </w:r>
      <w:r>
        <w:rPr>
          <w:i/>
          <w:iCs/>
          <w:sz w:val="28"/>
          <w:szCs w:val="28"/>
        </w:rPr>
        <w:t>,</w:t>
      </w:r>
      <w:proofErr w:type="gramEnd"/>
      <w:r>
        <w:rPr>
          <w:sz w:val="28"/>
          <w:szCs w:val="28"/>
        </w:rPr>
        <w:tab/>
      </w:r>
      <w:r>
        <w:rPr>
          <w:sz w:val="28"/>
          <w:szCs w:val="28"/>
        </w:rPr>
        <w:tab/>
      </w:r>
      <w:r>
        <w:rPr>
          <w:sz w:val="28"/>
          <w:szCs w:val="28"/>
        </w:rPr>
        <w:tab/>
        <w:t xml:space="preserve"> </w:t>
      </w:r>
      <w:r w:rsidR="00256085">
        <w:rPr>
          <w:sz w:val="28"/>
          <w:szCs w:val="28"/>
        </w:rPr>
        <w:tab/>
        <w:t xml:space="preserve"> </w:t>
      </w:r>
      <w:r>
        <w:rPr>
          <w:sz w:val="28"/>
          <w:szCs w:val="28"/>
        </w:rPr>
        <w:t>)</w:t>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
    <w:p w:rsidR="00000000" w:rsidRDefault="00AE1CCA">
      <w:pPr>
        <w:tabs>
          <w:tab w:val="left" w:pos="720"/>
          <w:tab w:val="left" w:pos="1440"/>
          <w:tab w:val="left" w:pos="2160"/>
          <w:tab w:val="left" w:pos="2880"/>
          <w:tab w:val="left" w:pos="3600"/>
          <w:tab w:val="left" w:pos="4320"/>
          <w:tab w:val="left" w:pos="5040"/>
          <w:tab w:val="left" w:pos="5760"/>
        </w:tabs>
        <w:ind w:left="5760" w:hanging="5760"/>
        <w:rPr>
          <w:sz w:val="28"/>
          <w:szCs w:val="28"/>
        </w:rPr>
      </w:pPr>
      <w:r>
        <w:rPr>
          <w:sz w:val="28"/>
          <w:szCs w:val="28"/>
        </w:rPr>
        <w:tab/>
      </w:r>
      <w:r>
        <w:rPr>
          <w:sz w:val="28"/>
          <w:szCs w:val="28"/>
        </w:rPr>
        <w:tab/>
      </w:r>
      <w:r>
        <w:rPr>
          <w:sz w:val="28"/>
          <w:szCs w:val="28"/>
        </w:rPr>
        <w:tab/>
      </w:r>
      <w:r>
        <w:rPr>
          <w:sz w:val="28"/>
          <w:szCs w:val="28"/>
        </w:rPr>
        <w:tab/>
      </w:r>
      <w:r>
        <w:rPr>
          <w:i/>
          <w:iCs/>
          <w:sz w:val="28"/>
          <w:szCs w:val="28"/>
        </w:rPr>
        <w:t>Defendant-Appellee</w:t>
      </w:r>
      <w:r>
        <w:rPr>
          <w:sz w:val="28"/>
          <w:szCs w:val="28"/>
        </w:rPr>
        <w:tab/>
        <w:t xml:space="preserve"> )</w:t>
      </w:r>
    </w:p>
    <w:p w:rsidR="00000000" w:rsidRDefault="00AE1CCA">
      <w:pPr>
        <w:rPr>
          <w:sz w:val="28"/>
          <w:szCs w:val="28"/>
        </w:rPr>
      </w:pPr>
      <w:r>
        <w:rPr>
          <w:sz w:val="28"/>
          <w:szCs w:val="28"/>
        </w:rPr>
        <w:t xml:space="preserve">__________________________________________)  </w:t>
      </w:r>
    </w:p>
    <w:p w:rsidR="00000000" w:rsidRDefault="00AE1CCA">
      <w:pPr>
        <w:rPr>
          <w:sz w:val="28"/>
          <w:szCs w:val="28"/>
        </w:rPr>
      </w:pPr>
    </w:p>
    <w:p w:rsidR="00000000" w:rsidRDefault="00AE1CCA">
      <w:pPr>
        <w:jc w:val="center"/>
        <w:rPr>
          <w:sz w:val="28"/>
          <w:szCs w:val="28"/>
        </w:rPr>
      </w:pPr>
      <w:proofErr w:type="gramStart"/>
      <w:r>
        <w:rPr>
          <w:b/>
          <w:bCs/>
          <w:sz w:val="28"/>
          <w:szCs w:val="28"/>
          <w:u w:val="single"/>
        </w:rPr>
        <w:t>CERTIFICATE  PURSU</w:t>
      </w:r>
      <w:r>
        <w:rPr>
          <w:b/>
          <w:bCs/>
          <w:sz w:val="28"/>
          <w:szCs w:val="28"/>
          <w:u w:val="single"/>
        </w:rPr>
        <w:t>ANT</w:t>
      </w:r>
      <w:proofErr w:type="gramEnd"/>
      <w:r>
        <w:rPr>
          <w:b/>
          <w:bCs/>
          <w:sz w:val="28"/>
          <w:szCs w:val="28"/>
          <w:u w:val="single"/>
        </w:rPr>
        <w:t xml:space="preserve">  TO  RULE  28(a)(2)</w:t>
      </w:r>
    </w:p>
    <w:p w:rsidR="00000000" w:rsidRDefault="00AE1CCA">
      <w:pPr>
        <w:rPr>
          <w:sz w:val="28"/>
          <w:szCs w:val="28"/>
        </w:rPr>
      </w:pPr>
    </w:p>
    <w:p w:rsidR="00000000" w:rsidRDefault="00AE1CCA">
      <w:pPr>
        <w:rPr>
          <w:sz w:val="28"/>
          <w:szCs w:val="28"/>
        </w:rPr>
      </w:pPr>
      <w:r>
        <w:rPr>
          <w:sz w:val="28"/>
          <w:szCs w:val="28"/>
        </w:rPr>
        <w:tab/>
        <w:t>Plaintiffs-Appellants state that the following parties appeared below:</w:t>
      </w:r>
    </w:p>
    <w:p w:rsidR="00000000" w:rsidRDefault="00AE1CCA">
      <w:pPr>
        <w:rPr>
          <w:sz w:val="28"/>
          <w:szCs w:val="28"/>
        </w:rPr>
      </w:pPr>
    </w:p>
    <w:p w:rsidR="00000000" w:rsidRDefault="00AE1CCA">
      <w:pPr>
        <w:rPr>
          <w:sz w:val="28"/>
          <w:szCs w:val="28"/>
        </w:rPr>
      </w:pPr>
      <w:r>
        <w:rPr>
          <w:sz w:val="28"/>
          <w:szCs w:val="28"/>
        </w:rPr>
        <w:tab/>
      </w:r>
      <w:r>
        <w:rPr>
          <w:sz w:val="28"/>
          <w:szCs w:val="28"/>
          <w:u w:val="single"/>
        </w:rPr>
        <w:t>Plaintiffs-Appellants</w:t>
      </w:r>
    </w:p>
    <w:p w:rsidR="00000000" w:rsidRDefault="00AE1CCA">
      <w:pPr>
        <w:suppressAutoHyphens/>
        <w:rPr>
          <w:sz w:val="28"/>
          <w:szCs w:val="28"/>
        </w:rPr>
      </w:pPr>
      <w:r>
        <w:rPr>
          <w:sz w:val="28"/>
          <w:szCs w:val="28"/>
        </w:rPr>
        <w:tab/>
        <w:t xml:space="preserve">Plaintiff Tax Analysts is a non-profit District of Columbia corporation.  Pursuant to Rule 26.1(a), Tax Analysts states that it has </w:t>
      </w:r>
      <w:r>
        <w:rPr>
          <w:sz w:val="28"/>
          <w:szCs w:val="28"/>
        </w:rPr>
        <w:t>no parent corporation and that no publicly held corporation owns 10% or more of its stock.</w:t>
      </w:r>
    </w:p>
    <w:p w:rsidR="00000000" w:rsidRDefault="00AE1CCA">
      <w:pPr>
        <w:suppressAutoHyphens/>
        <w:rPr>
          <w:sz w:val="28"/>
          <w:szCs w:val="28"/>
        </w:rPr>
      </w:pPr>
      <w:r>
        <w:rPr>
          <w:sz w:val="28"/>
          <w:szCs w:val="28"/>
        </w:rPr>
        <w:tab/>
        <w:t>Plaintiff Aaron Davis</w:t>
      </w:r>
    </w:p>
    <w:p w:rsidR="00000000" w:rsidRDefault="00AE1CCA">
      <w:pPr>
        <w:suppressAutoHyphens/>
        <w:rPr>
          <w:sz w:val="28"/>
          <w:szCs w:val="28"/>
        </w:rPr>
      </w:pPr>
    </w:p>
    <w:p w:rsidR="00000000" w:rsidRDefault="00AE1CCA">
      <w:pPr>
        <w:suppressAutoHyphens/>
        <w:rPr>
          <w:sz w:val="28"/>
          <w:szCs w:val="28"/>
        </w:rPr>
      </w:pPr>
      <w:r>
        <w:rPr>
          <w:sz w:val="28"/>
          <w:szCs w:val="28"/>
        </w:rPr>
        <w:tab/>
        <w:t>Plaintiffs-Appellants were and are represented by Hitchcock Law Firm PLLC and Cornish F. Hitchcock.</w:t>
      </w:r>
    </w:p>
    <w:p w:rsidR="00000000" w:rsidRDefault="00AE1CCA">
      <w:pPr>
        <w:suppressAutoHyphens/>
        <w:rPr>
          <w:sz w:val="28"/>
          <w:szCs w:val="28"/>
        </w:rPr>
      </w:pPr>
    </w:p>
    <w:p w:rsidR="00000000" w:rsidRDefault="00AE1CCA">
      <w:pPr>
        <w:suppressAutoHyphens/>
        <w:rPr>
          <w:sz w:val="28"/>
          <w:szCs w:val="28"/>
        </w:rPr>
      </w:pPr>
      <w:r>
        <w:rPr>
          <w:sz w:val="28"/>
          <w:szCs w:val="28"/>
        </w:rPr>
        <w:tab/>
      </w:r>
      <w:r>
        <w:rPr>
          <w:sz w:val="28"/>
          <w:szCs w:val="28"/>
          <w:u w:val="single"/>
        </w:rPr>
        <w:t xml:space="preserve">Defendant-Appellee </w:t>
      </w:r>
    </w:p>
    <w:p w:rsidR="00000000" w:rsidRDefault="00AE1CCA">
      <w:pPr>
        <w:suppressAutoHyphens/>
        <w:rPr>
          <w:sz w:val="28"/>
          <w:szCs w:val="28"/>
        </w:rPr>
      </w:pPr>
      <w:r>
        <w:rPr>
          <w:sz w:val="28"/>
          <w:szCs w:val="28"/>
        </w:rPr>
        <w:tab/>
        <w:t>Defendant Distric</w:t>
      </w:r>
      <w:r>
        <w:rPr>
          <w:sz w:val="28"/>
          <w:szCs w:val="28"/>
        </w:rPr>
        <w:t xml:space="preserve">t of Columbia.  </w:t>
      </w:r>
    </w:p>
    <w:p w:rsidR="00000000" w:rsidRDefault="00AE1CCA">
      <w:pPr>
        <w:suppressAutoHyphens/>
        <w:rPr>
          <w:sz w:val="28"/>
          <w:szCs w:val="28"/>
        </w:rPr>
      </w:pPr>
      <w:r>
        <w:rPr>
          <w:sz w:val="28"/>
          <w:szCs w:val="28"/>
        </w:rPr>
        <w:tab/>
        <w:t xml:space="preserve">Office of the Chief Financial Officer was named as a defendant, but was dismissed from the case in Superior Court. </w:t>
      </w:r>
    </w:p>
    <w:p w:rsidR="00000000" w:rsidRDefault="00AE1CCA">
      <w:pPr>
        <w:suppressAutoHyphens/>
        <w:rPr>
          <w:sz w:val="28"/>
          <w:szCs w:val="28"/>
        </w:rPr>
      </w:pPr>
    </w:p>
    <w:p w:rsidR="00000000" w:rsidRDefault="00AE1CCA">
      <w:pPr>
        <w:suppressAutoHyphens/>
        <w:rPr>
          <w:sz w:val="28"/>
          <w:szCs w:val="28"/>
        </w:rPr>
      </w:pPr>
      <w:r>
        <w:rPr>
          <w:sz w:val="28"/>
          <w:szCs w:val="28"/>
        </w:rPr>
        <w:tab/>
        <w:t>Defendants were and are represented by the Office of the Attorney General for the District of Columbia.</w:t>
      </w:r>
    </w:p>
    <w:p w:rsidR="00000000" w:rsidRDefault="00AE1CCA">
      <w:pPr>
        <w:suppressAutoHyphens/>
        <w:rPr>
          <w:sz w:val="28"/>
          <w:szCs w:val="28"/>
        </w:rPr>
      </w:pPr>
      <w:r>
        <w:rPr>
          <w:sz w:val="28"/>
          <w:szCs w:val="28"/>
        </w:rPr>
        <w:softHyphen/>
      </w:r>
      <w:r>
        <w:rPr>
          <w:sz w:val="28"/>
          <w:szCs w:val="28"/>
        </w:rPr>
        <w:softHyphen/>
      </w:r>
      <w:r>
        <w:rPr>
          <w:sz w:val="28"/>
          <w:szCs w:val="28"/>
        </w:rPr>
        <w:softHyphen/>
      </w:r>
    </w:p>
    <w:p w:rsidR="00000000" w:rsidRDefault="00AE1CCA">
      <w:pPr>
        <w:suppressAutoHyphens/>
        <w:rPr>
          <w:sz w:val="28"/>
          <w:szCs w:val="28"/>
        </w:rPr>
      </w:pPr>
      <w:r>
        <w:rPr>
          <w:sz w:val="28"/>
          <w:szCs w:val="28"/>
        </w:rPr>
        <w:tab/>
        <w:t>These repre</w:t>
      </w:r>
      <w:r>
        <w:rPr>
          <w:sz w:val="28"/>
          <w:szCs w:val="28"/>
        </w:rPr>
        <w:t xml:space="preserve">sentations are made, </w:t>
      </w:r>
      <w:r>
        <w:rPr>
          <w:i/>
          <w:iCs/>
          <w:sz w:val="28"/>
          <w:szCs w:val="28"/>
        </w:rPr>
        <w:t>inter alia</w:t>
      </w:r>
      <w:r>
        <w:rPr>
          <w:sz w:val="28"/>
          <w:szCs w:val="28"/>
        </w:rPr>
        <w:t>, so that judges of this Court may evaluate possible recusal.</w:t>
      </w:r>
    </w:p>
    <w:p w:rsidR="00000000" w:rsidRDefault="00AE1CCA">
      <w:pPr>
        <w:suppressAutoHyphens/>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000000" w:rsidRDefault="00AE1CCA">
      <w:pPr>
        <w:tabs>
          <w:tab w:val="left" w:pos="720"/>
          <w:tab w:val="left" w:pos="1440"/>
          <w:tab w:val="left" w:pos="2160"/>
          <w:tab w:val="left" w:pos="2880"/>
          <w:tab w:val="left" w:pos="3600"/>
          <w:tab w:val="left" w:pos="4320"/>
        </w:tabs>
        <w:ind w:left="4320" w:hanging="4320"/>
        <w:rPr>
          <w:sz w:val="28"/>
          <w:szCs w:val="28"/>
        </w:rPr>
      </w:pPr>
      <w:r>
        <w:rPr>
          <w:sz w:val="28"/>
          <w:szCs w:val="28"/>
        </w:rPr>
        <w:lastRenderedPageBreak/>
        <w:tab/>
      </w:r>
      <w:r>
        <w:rPr>
          <w:sz w:val="28"/>
          <w:szCs w:val="28"/>
        </w:rPr>
        <w:tab/>
      </w:r>
      <w:r>
        <w:rPr>
          <w:sz w:val="28"/>
          <w:szCs w:val="28"/>
        </w:rPr>
        <w:tab/>
      </w:r>
      <w:r>
        <w:rPr>
          <w:sz w:val="28"/>
          <w:szCs w:val="28"/>
        </w:rPr>
        <w:tab/>
      </w:r>
      <w:r>
        <w:rPr>
          <w:sz w:val="28"/>
          <w:szCs w:val="28"/>
        </w:rPr>
        <w:tab/>
      </w:r>
      <w:r>
        <w:rPr>
          <w:sz w:val="28"/>
          <w:szCs w:val="28"/>
        </w:rPr>
        <w:tab/>
      </w:r>
    </w:p>
    <w:p w:rsidR="00000000" w:rsidRDefault="00AE1CCA">
      <w:pPr>
        <w:tabs>
          <w:tab w:val="left" w:pos="720"/>
          <w:tab w:val="left" w:pos="1440"/>
          <w:tab w:val="left" w:pos="2160"/>
          <w:tab w:val="left" w:pos="2880"/>
          <w:tab w:val="left" w:pos="3600"/>
          <w:tab w:val="left" w:pos="4320"/>
        </w:tabs>
        <w:ind w:left="4320" w:hanging="432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__________________________________</w:t>
      </w:r>
    </w:p>
    <w:p w:rsidR="00000000" w:rsidRDefault="00AE1CCA">
      <w:pPr>
        <w:tabs>
          <w:tab w:val="left" w:pos="720"/>
          <w:tab w:val="left" w:pos="1440"/>
          <w:tab w:val="left" w:pos="2160"/>
          <w:tab w:val="left" w:pos="2880"/>
          <w:tab w:val="left" w:pos="3600"/>
          <w:tab w:val="left" w:pos="4320"/>
        </w:tabs>
        <w:ind w:left="4320" w:hanging="432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Cornish F. Hitchcock</w:t>
      </w:r>
    </w:p>
    <w:p w:rsidR="00000000" w:rsidRDefault="00AE1CCA">
      <w:pPr>
        <w:tabs>
          <w:tab w:val="left" w:pos="720"/>
          <w:tab w:val="left" w:pos="1440"/>
          <w:tab w:val="left" w:pos="2160"/>
          <w:tab w:val="left" w:pos="2880"/>
          <w:tab w:val="left" w:pos="3600"/>
          <w:tab w:val="left" w:pos="4320"/>
        </w:tabs>
        <w:ind w:left="4320" w:hanging="4320"/>
        <w:rPr>
          <w:sz w:val="24"/>
          <w:szCs w:val="24"/>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Attorney for Plaintiffs-Appellants</w:t>
      </w:r>
    </w:p>
    <w:p w:rsidR="00000000" w:rsidRDefault="00AE1CCA">
      <w:pPr>
        <w:jc w:val="center"/>
        <w:rPr>
          <w:rFonts w:ascii="Century Becker Schoolbook" w:hAnsi="Century Becker Schoolbook" w:cs="Century Becker Schoolbook"/>
          <w:sz w:val="28"/>
          <w:szCs w:val="28"/>
        </w:rPr>
      </w:pPr>
      <w:r>
        <w:rPr>
          <w:sz w:val="24"/>
          <w:szCs w:val="24"/>
        </w:rPr>
        <w:br w:type="page"/>
      </w:r>
      <w:r>
        <w:rPr>
          <w:rFonts w:ascii="Century Becker Schoolbook" w:hAnsi="Century Becker Schoolbook" w:cs="Century Becker Schoolbook"/>
          <w:sz w:val="28"/>
          <w:szCs w:val="28"/>
          <w:u w:val="single"/>
        </w:rPr>
        <w:lastRenderedPageBreak/>
        <w:t>TABLE OF CONTENTS</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STATEMENT REGARDI</w:t>
      </w:r>
      <w:r>
        <w:rPr>
          <w:rFonts w:ascii="Century Becker Schoolbook" w:hAnsi="Century Becker Schoolbook" w:cs="Century Becker Schoolbook"/>
          <w:sz w:val="28"/>
          <w:szCs w:val="28"/>
        </w:rPr>
        <w:t xml:space="preserve">NG FINALITY AND JURISDICTION </w:t>
      </w:r>
      <w:r>
        <w:rPr>
          <w:rFonts w:ascii="Century Becker Schoolbook" w:hAnsi="Century Becker Schoolbook" w:cs="Century Becker Schoolbook"/>
          <w:sz w:val="28"/>
          <w:szCs w:val="28"/>
        </w:rPr>
        <w:tab/>
        <w:t>1</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BRIEF FOR PLAINTIFFS-APPELLANTS </w:t>
      </w:r>
      <w:r>
        <w:rPr>
          <w:rFonts w:ascii="Century Becker Schoolbook" w:hAnsi="Century Becker Schoolbook" w:cs="Century Becker Schoolbook"/>
          <w:sz w:val="28"/>
          <w:szCs w:val="28"/>
        </w:rPr>
        <w:tab/>
        <w:t>1</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QUESTION PRESENTED </w:t>
      </w:r>
      <w:r>
        <w:rPr>
          <w:rFonts w:ascii="Century Becker Schoolbook" w:hAnsi="Century Becker Schoolbook" w:cs="Century Becker Schoolbook"/>
          <w:sz w:val="28"/>
          <w:szCs w:val="28"/>
        </w:rPr>
        <w:tab/>
        <w:t>1</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STATEMENT OF THE CASE </w:t>
      </w:r>
      <w:r>
        <w:rPr>
          <w:rFonts w:ascii="Century Becker Schoolbook" w:hAnsi="Century Becker Schoolbook" w:cs="Century Becker Schoolbook"/>
          <w:sz w:val="28"/>
          <w:szCs w:val="28"/>
        </w:rPr>
        <w:tab/>
        <w:t>1</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STATEMENT OF FACTS </w:t>
      </w:r>
      <w:r>
        <w:rPr>
          <w:rFonts w:ascii="Century Becker Schoolbook" w:hAnsi="Century Becker Schoolbook" w:cs="Century Becker Schoolbook"/>
          <w:sz w:val="28"/>
          <w:szCs w:val="28"/>
        </w:rPr>
        <w:tab/>
        <w:t>2</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SUMMARY OF ARGUMENT </w:t>
      </w:r>
      <w:r>
        <w:rPr>
          <w:rFonts w:ascii="Century Becker Schoolbook" w:hAnsi="Century Becker Schoolbook" w:cs="Century Becker Schoolbook"/>
          <w:sz w:val="28"/>
          <w:szCs w:val="28"/>
        </w:rPr>
        <w:tab/>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ARGUMENT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THE  TRIAL</w:t>
      </w:r>
      <w:proofErr w:type="gramEnd"/>
      <w:r>
        <w:rPr>
          <w:rFonts w:ascii="Century Becker Schoolbook" w:hAnsi="Century Becker Schoolbook" w:cs="Century Becker Schoolbook"/>
          <w:sz w:val="28"/>
          <w:szCs w:val="28"/>
        </w:rPr>
        <w:t xml:space="preserve">  COURT  ERRED  IN  DENYING  ACCESS </w:t>
      </w:r>
    </w:p>
    <w:p w:rsidR="00000000" w:rsidRDefault="00AE1CCA">
      <w:pPr>
        <w:tabs>
          <w:tab w:val="left" w:pos="720"/>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TO  REDACTED</w:t>
      </w:r>
      <w:proofErr w:type="gramEnd"/>
      <w:r>
        <w:rPr>
          <w:rFonts w:ascii="Century Becker Schoolbook" w:hAnsi="Century Becker Schoolbook" w:cs="Century Becker Schoolbook"/>
          <w:sz w:val="28"/>
          <w:szCs w:val="28"/>
        </w:rPr>
        <w:t xml:space="preserve">  PRIVATE  LETTER  RULINGS. </w:t>
      </w:r>
      <w:r>
        <w:rPr>
          <w:rFonts w:ascii="Century Becker Schoolbook" w:hAnsi="Century Becker Schoolbook" w:cs="Century Becker Schoolbook"/>
          <w:sz w:val="28"/>
          <w:szCs w:val="28"/>
        </w:rPr>
        <w:tab/>
        <w:t>X</w:t>
      </w:r>
    </w:p>
    <w:p w:rsidR="00000000" w:rsidRDefault="00AE1CCA">
      <w:pPr>
        <w:tabs>
          <w:tab w:val="left" w:pos="720"/>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t xml:space="preserve">      Standard of Review </w:t>
      </w:r>
      <w:r>
        <w:rPr>
          <w:rFonts w:ascii="Century Becker Schoolbook" w:hAnsi="Century Becker Schoolbook" w:cs="Century Becker Schoolbook"/>
          <w:sz w:val="28"/>
          <w:szCs w:val="28"/>
        </w:rPr>
        <w:tab/>
        <w:t>x</w:t>
      </w:r>
    </w:p>
    <w:p w:rsidR="00000000" w:rsidRDefault="00AE1CCA">
      <w:pPr>
        <w:tabs>
          <w:tab w:val="left" w:pos="720"/>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t xml:space="preserve">A.  Introduction and Overview </w:t>
      </w:r>
      <w:r>
        <w:rPr>
          <w:rFonts w:ascii="Century Becker Schoolbook" w:hAnsi="Century Becker Schoolbook" w:cs="Century Becker Schoolbook"/>
          <w:sz w:val="28"/>
          <w:szCs w:val="28"/>
        </w:rPr>
        <w:tab/>
        <w:t>x</w:t>
      </w:r>
    </w:p>
    <w:p w:rsidR="00000000" w:rsidRDefault="00AE1CCA">
      <w:pPr>
        <w:ind w:left="720"/>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B.  The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Other Statutes</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Exemption Does Not Permit</w:t>
      </w:r>
    </w:p>
    <w:p w:rsidR="00000000" w:rsidRDefault="00AE1CCA">
      <w:pPr>
        <w:tabs>
          <w:tab w:val="left" w:pos="720"/>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t xml:space="preserve">      Withholding Private Letter </w:t>
      </w:r>
      <w:r>
        <w:rPr>
          <w:rFonts w:ascii="Century Becker Schoolbook" w:hAnsi="Century Becker Schoolbook" w:cs="Century Becker Schoolbook"/>
          <w:sz w:val="28"/>
          <w:szCs w:val="28"/>
        </w:rPr>
        <w:t xml:space="preserve">Rulings in Their Entirety. </w:t>
      </w: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x</w:t>
      </w:r>
      <w:proofErr w:type="gramEnd"/>
    </w:p>
    <w:p w:rsidR="00000000" w:rsidRDefault="00AE1CCA">
      <w:pPr>
        <w:rPr>
          <w:rFonts w:ascii="Century Becker Schoolbook" w:hAnsi="Century Becker Schoolbook" w:cs="Century Becker Schoolbook"/>
          <w:sz w:val="28"/>
          <w:szCs w:val="28"/>
          <w:u w:val="single"/>
        </w:rPr>
      </w:pPr>
      <w:r>
        <w:rPr>
          <w:rFonts w:ascii="Century Becker Schoolbook" w:hAnsi="Century Becker Schoolbook" w:cs="Century Becker Schoolbook"/>
          <w:sz w:val="28"/>
          <w:szCs w:val="28"/>
        </w:rPr>
        <w:tab/>
        <w:t>C.  The trial court erred in gran</w:t>
      </w:r>
      <w:r>
        <w:rPr>
          <w:rFonts w:ascii="Century Becker Schoolbook" w:hAnsi="Century Becker Schoolbook" w:cs="Century Becker Schoolbook"/>
          <w:sz w:val="28"/>
          <w:szCs w:val="28"/>
        </w:rPr>
        <w:t>ting summary judgment</w:t>
      </w:r>
    </w:p>
    <w:p w:rsidR="00000000" w:rsidRDefault="00AE1CCA">
      <w:pPr>
        <w:tabs>
          <w:tab w:val="right" w:leader="dot" w:pos="9358"/>
        </w:tabs>
        <w:ind w:left="720"/>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      </w:t>
      </w:r>
      <w:proofErr w:type="gramStart"/>
      <w:r>
        <w:rPr>
          <w:rFonts w:ascii="Century Becker Schoolbook" w:hAnsi="Century Becker Schoolbook" w:cs="Century Becker Schoolbook"/>
          <w:sz w:val="28"/>
          <w:szCs w:val="28"/>
        </w:rPr>
        <w:t>without</w:t>
      </w:r>
      <w:proofErr w:type="gramEnd"/>
      <w:r>
        <w:rPr>
          <w:rFonts w:ascii="Century Becker Schoolbook" w:hAnsi="Century Becker Schoolbook" w:cs="Century Becker Schoolbook"/>
          <w:sz w:val="28"/>
          <w:szCs w:val="28"/>
        </w:rPr>
        <w:t xml:space="preserve"> first conducting an </w:t>
      </w:r>
      <w:r>
        <w:rPr>
          <w:rFonts w:ascii="Century Becker Schoolbook" w:hAnsi="Century Becker Schoolbook" w:cs="Century Becker Schoolbook"/>
          <w:i/>
          <w:iCs/>
          <w:sz w:val="28"/>
          <w:szCs w:val="28"/>
        </w:rPr>
        <w:t>in camera</w:t>
      </w:r>
      <w:r>
        <w:rPr>
          <w:rFonts w:ascii="Century Becker Schoolbook" w:hAnsi="Century Becker Schoolbook" w:cs="Century Becker Schoolbook"/>
          <w:sz w:val="28"/>
          <w:szCs w:val="28"/>
        </w:rPr>
        <w:t xml:space="preserve"> review. </w:t>
      </w: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x</w:t>
      </w:r>
      <w:proofErr w:type="gramEnd"/>
    </w:p>
    <w:p w:rsidR="00000000" w:rsidRDefault="00AE1CCA">
      <w:pPr>
        <w:tabs>
          <w:tab w:val="left" w:pos="720"/>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t xml:space="preserve">D.  The personal privacy exception has no application here. </w:t>
      </w: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x</w:t>
      </w:r>
      <w:proofErr w:type="gramEnd"/>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CONCLUSION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p>
    <w:p w:rsidR="00000000" w:rsidRDefault="00AE1CCA">
      <w:pPr>
        <w:jc w:val="center"/>
        <w:rPr>
          <w:rFonts w:ascii="Century Becker Schoolbook" w:hAnsi="Century Becker Schoolbook" w:cs="Century Becker Schoolbook"/>
          <w:sz w:val="28"/>
          <w:szCs w:val="28"/>
        </w:rPr>
      </w:pPr>
      <w:r>
        <w:rPr>
          <w:rFonts w:ascii="Century Becker Schoolbook" w:hAnsi="Century Becker Schoolbook" w:cs="Century Becker Schoolbook"/>
          <w:sz w:val="28"/>
          <w:szCs w:val="28"/>
          <w:u w:val="single"/>
        </w:rPr>
        <w:t>TABLE OF AUTHORITIES*</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sz w:val="28"/>
          <w:szCs w:val="28"/>
          <w:u w:val="single"/>
        </w:rPr>
        <w:t>Cases:</w:t>
      </w: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Barry v. Washington Post Co</w:t>
      </w:r>
      <w:r>
        <w:rPr>
          <w:rFonts w:ascii="Century Becker Schoolbook" w:hAnsi="Century Becker Schoolbook" w:cs="Century Becker Schoolbook"/>
          <w:sz w:val="28"/>
          <w:szCs w:val="28"/>
        </w:rPr>
        <w:t>.,</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  529 A.2d 319 321 (D.C. 1987) </w:t>
      </w:r>
      <w:r>
        <w:rPr>
          <w:rFonts w:ascii="Century Becker Schoolbook" w:hAnsi="Century Becker Schoolbook" w:cs="Century Becker Schoolbook"/>
          <w:sz w:val="28"/>
          <w:szCs w:val="28"/>
        </w:rPr>
        <w:tab/>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Doe v. D.C. Metro. Police Dep't</w:t>
      </w:r>
      <w:r>
        <w:rPr>
          <w:rFonts w:ascii="Century Becker Schoolbook" w:hAnsi="Century Becker Schoolbook" w:cs="Century Becker Schoolbook"/>
          <w:sz w:val="28"/>
          <w:szCs w:val="28"/>
        </w:rPr>
        <w:t xml:space="preserve">, </w:t>
      </w: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  948 A.2d 1210 (D.C. 2008</w:t>
      </w:r>
      <w:proofErr w:type="gramStart"/>
      <w:r>
        <w:rPr>
          <w:rFonts w:ascii="Century Becker Schoolbook" w:hAnsi="Century Becker Schoolbook" w:cs="Century Becker Schoolbook"/>
          <w:sz w:val="28"/>
          <w:szCs w:val="28"/>
        </w:rPr>
        <w:t>)  (</w:t>
      </w:r>
      <w:proofErr w:type="gramEnd"/>
      <w:r>
        <w:rPr>
          <w:rFonts w:ascii="Century Becker Schoolbook" w:hAnsi="Century Becker Schoolbook" w:cs="Century Becker Schoolbook"/>
          <w:sz w:val="28"/>
          <w:szCs w:val="28"/>
        </w:rPr>
        <w:t>Follow federal)</w:t>
      </w:r>
    </w:p>
    <w:p w:rsidR="00000000" w:rsidRDefault="00AE1CCA">
      <w:pPr>
        <w:rPr>
          <w:rFonts w:ascii="Century Becker Schoolbook" w:hAnsi="Century Becker Schoolbook" w:cs="Century Becker Schoolbook"/>
          <w:i/>
          <w:iCs/>
          <w:color w:val="373739"/>
          <w:sz w:val="28"/>
          <w:szCs w:val="28"/>
        </w:rPr>
      </w:pPr>
    </w:p>
    <w:p w:rsidR="00000000" w:rsidRDefault="00AE1CCA">
      <w:pPr>
        <w:rPr>
          <w:rFonts w:ascii="Century Becker Schoolbook" w:hAnsi="Century Becker Schoolbook" w:cs="Century Becker Schoolbook"/>
          <w:color w:val="373739"/>
          <w:sz w:val="28"/>
          <w:szCs w:val="28"/>
        </w:rPr>
      </w:pPr>
      <w:r>
        <w:rPr>
          <w:rFonts w:ascii="Century Becker Schoolbook" w:hAnsi="Century Becker Schoolbook" w:cs="Century Becker Schoolbook"/>
          <w:i/>
          <w:iCs/>
          <w:color w:val="373739"/>
          <w:sz w:val="28"/>
          <w:szCs w:val="28"/>
        </w:rPr>
        <w:t>Dunhill v. Director, District of Columbia Dep</w:t>
      </w:r>
      <w:r>
        <w:rPr>
          <w:rFonts w:ascii="Century Becker Schoolbook" w:hAnsi="Century Becker Schoolbook" w:cs="Century Becker Schoolbook"/>
          <w:i/>
          <w:iCs/>
          <w:color w:val="373739"/>
          <w:sz w:val="28"/>
          <w:szCs w:val="28"/>
        </w:rPr>
        <w:t>’</w:t>
      </w:r>
      <w:r>
        <w:rPr>
          <w:rFonts w:ascii="Century Becker Schoolbook" w:hAnsi="Century Becker Schoolbook" w:cs="Century Becker Schoolbook"/>
          <w:i/>
          <w:iCs/>
          <w:color w:val="373739"/>
          <w:sz w:val="28"/>
          <w:szCs w:val="28"/>
        </w:rPr>
        <w:t>t of Transportation</w:t>
      </w:r>
      <w:r>
        <w:rPr>
          <w:rFonts w:ascii="Century Becker Schoolbook" w:hAnsi="Century Becker Schoolbook" w:cs="Century Becker Schoolbook"/>
          <w:color w:val="373739"/>
          <w:sz w:val="28"/>
          <w:szCs w:val="28"/>
        </w:rPr>
        <w:t xml:space="preserve">, </w:t>
      </w: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color w:val="373739"/>
          <w:sz w:val="28"/>
          <w:szCs w:val="28"/>
        </w:rPr>
        <w:t xml:space="preserve">  416 A.2d 244 (D.C. 1980)</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Fraternal Order of Police v. District of Columbia,</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79 A.3d 347, 360 (D.C. 2013</w:t>
      </w:r>
      <w:r>
        <w:rPr>
          <w:rFonts w:ascii="Century Becker Schoolbook" w:hAnsi="Century Becker Schoolbook" w:cs="Century Becker Schoolbook"/>
          <w:sz w:val="28"/>
          <w:szCs w:val="28"/>
        </w:rPr>
        <w:t xml:space="preserve">)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i/>
          <w:iCs/>
          <w:sz w:val="28"/>
          <w:szCs w:val="28"/>
        </w:rPr>
      </w:pPr>
    </w:p>
    <w:p w:rsidR="00000000" w:rsidRDefault="00AE1CCA">
      <w:pPr>
        <w:rPr>
          <w:sz w:val="28"/>
          <w:szCs w:val="28"/>
        </w:rPr>
        <w:sectPr w:rsidR="00000000">
          <w:footerReference w:type="default" r:id="rId7"/>
          <w:pgSz w:w="12240" w:h="15840"/>
          <w:pgMar w:top="1440" w:right="1440" w:bottom="1440" w:left="1440" w:header="1440" w:footer="1440" w:gutter="0"/>
          <w:pgNumType w:fmt="lowerRoman" w:start="1"/>
          <w:cols w:space="720"/>
          <w:noEndnote/>
        </w:sect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Fraternal Order of Police, Metro. Labor Committee v. District of Columbia</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82 A.3d 8</w:t>
      </w:r>
      <w:r>
        <w:rPr>
          <w:rFonts w:ascii="Century Becker Schoolbook" w:hAnsi="Century Becker Schoolbook" w:cs="Century Becker Schoolbook"/>
          <w:sz w:val="28"/>
          <w:szCs w:val="28"/>
        </w:rPr>
        <w:t xml:space="preserve">03 (D.C. 2014)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Fraternal Order of Police, Metro. Labor Comm. v. District of Columbia</w:t>
      </w:r>
      <w:r>
        <w:rPr>
          <w:rFonts w:ascii="Century Becker Schoolbook" w:hAnsi="Century Becker Schoolbook" w:cs="Century Becker Schoolbook"/>
          <w:sz w:val="28"/>
          <w:szCs w:val="28"/>
        </w:rPr>
        <w:t xml:space="preserve">, 113 A.3d 198, ___ (D.C. 2015)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Fraternal Order of Police, Metropolitan Police Labor Committee v. District of Columbia</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124 A.3d 69 (D.C. 2015)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Fraternal Orde</w:t>
      </w:r>
      <w:r>
        <w:rPr>
          <w:rFonts w:ascii="Century Becker Schoolbook" w:hAnsi="Century Becker Schoolbook" w:cs="Century Becker Schoolbook"/>
          <w:i/>
          <w:iCs/>
          <w:sz w:val="28"/>
          <w:szCs w:val="28"/>
        </w:rPr>
        <w:t>r of Police v. District of Columbia</w:t>
      </w:r>
      <w:r>
        <w:rPr>
          <w:rFonts w:ascii="Century Becker Schoolbook" w:hAnsi="Century Becker Schoolbook" w:cs="Century Becker Schoolbook"/>
          <w:sz w:val="28"/>
          <w:szCs w:val="28"/>
        </w:rPr>
        <w:t>, 139 A.3d 853 (D.C. 2016) reasonably describe; no void for volume exception</w:t>
      </w:r>
    </w:p>
    <w:p w:rsidR="00000000" w:rsidRDefault="00AE1CCA">
      <w:pPr>
        <w:rPr>
          <w:rFonts w:ascii="Century Becker Schoolbook" w:hAnsi="Century Becker Schoolbook" w:cs="Century Becker Schoolbook"/>
          <w:i/>
          <w:iCs/>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Hines v. Bd. of Parole</w:t>
      </w:r>
      <w:r>
        <w:rPr>
          <w:rFonts w:ascii="Century Becker Schoolbook" w:hAnsi="Century Becker Schoolbook" w:cs="Century Becker Schoolbook"/>
          <w:sz w:val="28"/>
          <w:szCs w:val="28"/>
        </w:rPr>
        <w:t xml:space="preserve">, 567 A.2d 909 (D.C. 1989); </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Kane v. District of Columbia</w:t>
      </w:r>
      <w:r>
        <w:rPr>
          <w:rFonts w:ascii="Century Becker Schoolbook" w:hAnsi="Century Becker Schoolbook" w:cs="Century Becker Schoolbook"/>
          <w:sz w:val="28"/>
          <w:szCs w:val="28"/>
        </w:rPr>
        <w:t>, 180 A.3d 1073 (D.C. 2018)</w:t>
      </w: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affidavits</w:t>
      </w:r>
      <w:proofErr w:type="gramEnd"/>
      <w:r>
        <w:rPr>
          <w:rFonts w:ascii="Century Becker Schoolbook" w:hAnsi="Century Becker Schoolbook" w:cs="Century Becker Schoolbook"/>
          <w:sz w:val="28"/>
          <w:szCs w:val="28"/>
        </w:rPr>
        <w:t xml:space="preserve"> filed</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Mays v. Drug Enforcement Admin.</w:t>
      </w:r>
      <w:r>
        <w:rPr>
          <w:rFonts w:ascii="Century Becker Schoolbook" w:hAnsi="Century Becker Schoolbook" w:cs="Century Becker Schoolbook"/>
          <w:sz w:val="28"/>
          <w:szCs w:val="28"/>
        </w:rPr>
        <w:t>,</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234 F.3d 1324 (D.C. Cir. 2000)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proofErr w:type="spellStart"/>
      <w:r>
        <w:rPr>
          <w:rFonts w:ascii="Century Becker Schoolbook" w:hAnsi="Century Becker Schoolbook" w:cs="Century Becker Schoolbook"/>
          <w:i/>
          <w:iCs/>
          <w:sz w:val="28"/>
          <w:szCs w:val="28"/>
        </w:rPr>
        <w:t>McReady</w:t>
      </w:r>
      <w:proofErr w:type="spellEnd"/>
      <w:r>
        <w:rPr>
          <w:rFonts w:ascii="Century Becker Schoolbook" w:hAnsi="Century Becker Schoolbook" w:cs="Century Becker Schoolbook"/>
          <w:i/>
          <w:iCs/>
          <w:sz w:val="28"/>
          <w:szCs w:val="28"/>
        </w:rPr>
        <w:t xml:space="preserve"> v. Dep't of Consumer &amp; Regulatory Affairs</w:t>
      </w:r>
      <w:r>
        <w:rPr>
          <w:rFonts w:ascii="Century Becker Schoolbook" w:hAnsi="Century Becker Schoolbook" w:cs="Century Becker Schoolbook"/>
          <w:sz w:val="28"/>
          <w:szCs w:val="28"/>
        </w:rPr>
        <w:t xml:space="preserve">, </w:t>
      </w: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618 A.2d 609 (D.C. 1992)</w:t>
      </w:r>
      <w:proofErr w:type="gramStart"/>
      <w:r>
        <w:rPr>
          <w:rFonts w:ascii="Century Becker Schoolbook" w:hAnsi="Century Becker Schoolbook" w:cs="Century Becker Schoolbook"/>
          <w:sz w:val="28"/>
          <w:szCs w:val="28"/>
        </w:rPr>
        <w:t>;  fees</w:t>
      </w:r>
      <w:proofErr w:type="gramEnd"/>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Neufeld v. IRS</w:t>
      </w:r>
      <w:r>
        <w:rPr>
          <w:rFonts w:ascii="Century Becker Schoolbook" w:hAnsi="Century Becker Schoolbook" w:cs="Century Becker Schoolbook"/>
          <w:sz w:val="28"/>
          <w:szCs w:val="28"/>
        </w:rPr>
        <w:t xml:space="preserve">, </w:t>
      </w:r>
      <w:r>
        <w:rPr>
          <w:rFonts w:ascii="Century Becker Schoolbook" w:hAnsi="Century Becker Schoolbook" w:cs="Century Becker Schoolbook"/>
          <w:i/>
          <w:iCs/>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646 F.2d 661, 646 (D.C. Cir. 1981)</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Newspapers, Inc. v. Metro. Police Dep't</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lastRenderedPageBreak/>
        <w:t>546 A</w:t>
      </w:r>
      <w:r>
        <w:rPr>
          <w:rFonts w:ascii="Century Becker Schoolbook" w:hAnsi="Century Becker Schoolbook" w:cs="Century Becker Schoolbook"/>
          <w:sz w:val="28"/>
          <w:szCs w:val="28"/>
        </w:rPr>
        <w:t xml:space="preserve">.2d 990 (D.C. 1988)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proofErr w:type="spellStart"/>
      <w:r>
        <w:rPr>
          <w:rFonts w:ascii="Century Becker Schoolbook" w:hAnsi="Century Becker Schoolbook" w:cs="Century Becker Schoolbook"/>
          <w:i/>
          <w:iCs/>
          <w:sz w:val="28"/>
          <w:szCs w:val="28"/>
        </w:rPr>
        <w:t>Padou</w:t>
      </w:r>
      <w:proofErr w:type="spellEnd"/>
      <w:r>
        <w:rPr>
          <w:rFonts w:ascii="Century Becker Schoolbook" w:hAnsi="Century Becker Schoolbook" w:cs="Century Becker Schoolbook"/>
          <w:i/>
          <w:iCs/>
          <w:sz w:val="28"/>
          <w:szCs w:val="28"/>
        </w:rPr>
        <w:t xml:space="preserve"> v. District of Columbia</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29 A.3d 973, 982 (D.C. 2011)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People for the American Way Foundation v. v. Nat'l Park Serv</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503 F. Supp. 2d 284, 307 (D.D.C. 2007)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 xml:space="preserve">Riley v. </w:t>
      </w:r>
      <w:proofErr w:type="spellStart"/>
      <w:r>
        <w:rPr>
          <w:rFonts w:ascii="Century Becker Schoolbook" w:hAnsi="Century Becker Schoolbook" w:cs="Century Becker Schoolbook"/>
          <w:i/>
          <w:iCs/>
          <w:sz w:val="28"/>
          <w:szCs w:val="28"/>
        </w:rPr>
        <w:t>Fenty</w:t>
      </w:r>
      <w:proofErr w:type="spellEnd"/>
      <w:r>
        <w:rPr>
          <w:rFonts w:ascii="Century Becker Schoolbook" w:hAnsi="Century Becker Schoolbook" w:cs="Century Becker Schoolbook"/>
          <w:i/>
          <w:iCs/>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7 A.3d 1014 (D.C. 2010)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proofErr w:type="spellStart"/>
      <w:r>
        <w:rPr>
          <w:rFonts w:ascii="Century Becker Schoolbook" w:hAnsi="Century Becker Schoolbook" w:cs="Century Becker Schoolbook"/>
          <w:i/>
          <w:iCs/>
          <w:sz w:val="28"/>
          <w:szCs w:val="28"/>
        </w:rPr>
        <w:t>Rugiero</w:t>
      </w:r>
      <w:proofErr w:type="spellEnd"/>
      <w:r>
        <w:rPr>
          <w:rFonts w:ascii="Century Becker Schoolbook" w:hAnsi="Century Becker Schoolbook" w:cs="Century Becker Schoolbook"/>
          <w:i/>
          <w:iCs/>
          <w:sz w:val="28"/>
          <w:szCs w:val="28"/>
        </w:rPr>
        <w:t xml:space="preserve"> v. Depa</w:t>
      </w:r>
      <w:r>
        <w:rPr>
          <w:rFonts w:ascii="Century Becker Schoolbook" w:hAnsi="Century Becker Schoolbook" w:cs="Century Becker Schoolbook"/>
          <w:i/>
          <w:iCs/>
          <w:sz w:val="28"/>
          <w:szCs w:val="28"/>
        </w:rPr>
        <w:t>rtment of Justice</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234 F. Supp. 2d 697 (E.D. Mich. 2002)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Solar Sources, Inc. v. United States</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142 F.3d 1033 (7th Cir. 1998) </w:t>
      </w:r>
      <w:r>
        <w:rPr>
          <w:rFonts w:ascii="Century Becker Schoolbook" w:hAnsi="Century Becker Schoolbook" w:cs="Century Becker Schoolbook"/>
          <w:sz w:val="28"/>
          <w:szCs w:val="28"/>
        </w:rPr>
        <w:tab/>
        <w:t>x</w:t>
      </w:r>
    </w:p>
    <w:p w:rsidR="00000000" w:rsidRDefault="00AE1CCA">
      <w:pPr>
        <w:rPr>
          <w:sz w:val="28"/>
          <w:szCs w:val="28"/>
        </w:rPr>
      </w:pPr>
      <w:r>
        <w:rPr>
          <w:i/>
          <w:iCs/>
          <w:sz w:val="28"/>
          <w:szCs w:val="28"/>
        </w:rPr>
        <w:t>Tax Analysts and Advocates v. IRS</w:t>
      </w:r>
      <w:r>
        <w:rPr>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sz w:val="28"/>
          <w:szCs w:val="28"/>
        </w:rPr>
        <w:t>505 F.2d 350 (D.C. Cir. 1974)</w:t>
      </w:r>
      <w:r>
        <w:rPr>
          <w:rFonts w:ascii="Century Becker Schoolbook" w:hAnsi="Century Becker Schoolbook" w:cs="Century Becker Schoolbook"/>
          <w:sz w:val="28"/>
          <w:szCs w:val="28"/>
        </w:rPr>
        <w:t xml:space="preserve">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U.S. Dep</w:t>
      </w:r>
      <w:r>
        <w:rPr>
          <w:rFonts w:ascii="Century Becker Schoolbook" w:hAnsi="Century Becker Schoolbook" w:cs="Century Becker Schoolbook"/>
          <w:i/>
          <w:iCs/>
          <w:sz w:val="28"/>
          <w:szCs w:val="28"/>
        </w:rPr>
        <w:t>’</w:t>
      </w:r>
      <w:r>
        <w:rPr>
          <w:rFonts w:ascii="Century Becker Schoolbook" w:hAnsi="Century Becker Schoolbook" w:cs="Century Becker Schoolbook"/>
          <w:i/>
          <w:iCs/>
          <w:sz w:val="28"/>
          <w:szCs w:val="28"/>
        </w:rPr>
        <w:t>t of Defense v. Fed. Labor Relations Auth.</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510 U.S. 487 (1993)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Vaughn v. Rosen</w:t>
      </w:r>
      <w:r>
        <w:rPr>
          <w:rFonts w:ascii="Century Becker Schoolbook" w:hAnsi="Century Becker Schoolbook" w:cs="Century Becker Schoolbook"/>
          <w:sz w:val="28"/>
          <w:szCs w:val="28"/>
        </w:rPr>
        <w:t xml:space="preserve">, 484 F.2d 820, 827 (D.C. Cir.1973)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Vining v. District of Columbia</w:t>
      </w:r>
      <w:r>
        <w:rPr>
          <w:rFonts w:ascii="Century Becker Schoolbook" w:hAnsi="Century Becker Schoolbook" w:cs="Century Becker Schoolbook"/>
          <w:sz w:val="28"/>
          <w:szCs w:val="28"/>
        </w:rPr>
        <w:t>, 198 A.3d 738, 743 (D.C. 2018); fees</w:t>
      </w:r>
    </w:p>
    <w:p w:rsidR="00000000" w:rsidRDefault="00AE1CCA">
      <w:pPr>
        <w:rPr>
          <w:rFonts w:ascii="Century Becker Schoolbook" w:hAnsi="Century Becker Schoolbook" w:cs="Century Becker Schoolbook"/>
          <w:i/>
          <w:iCs/>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Vining v. Council of District of Columbia</w:t>
      </w:r>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140 A.3d 439 (D.C. 2016) </w:t>
      </w:r>
      <w:r>
        <w:rPr>
          <w:rFonts w:ascii="Century Becker Schoolbook" w:hAnsi="Century Becker Schoolbook" w:cs="Century Becker Schoolbook"/>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rPr>
          <w:rFonts w:ascii="Century Becker Schoolbook" w:hAnsi="Century Becker Schoolbook" w:cs="Century Becker Schoolbook"/>
          <w:sz w:val="28"/>
          <w:szCs w:val="28"/>
        </w:rPr>
      </w:pPr>
      <w:r>
        <w:rPr>
          <w:rFonts w:ascii="Century Becker Schoolbook" w:hAnsi="Century Becker Schoolbook" w:cs="Century Becker Schoolbook"/>
          <w:i/>
          <w:iCs/>
          <w:sz w:val="28"/>
          <w:szCs w:val="28"/>
        </w:rPr>
        <w:t xml:space="preserve">Washington Post Co. v. Minority </w:t>
      </w:r>
      <w:r>
        <w:rPr>
          <w:rFonts w:ascii="Century Becker Schoolbook" w:hAnsi="Century Becker Schoolbook" w:cs="Century Becker Schoolbook"/>
          <w:i/>
          <w:iCs/>
          <w:sz w:val="28"/>
          <w:szCs w:val="28"/>
        </w:rPr>
        <w:t xml:space="preserve">Bus. Opportunity </w:t>
      </w:r>
      <w:proofErr w:type="spellStart"/>
      <w:r>
        <w:rPr>
          <w:rFonts w:ascii="Century Becker Schoolbook" w:hAnsi="Century Becker Schoolbook" w:cs="Century Becker Schoolbook"/>
          <w:i/>
          <w:iCs/>
          <w:sz w:val="28"/>
          <w:szCs w:val="28"/>
        </w:rPr>
        <w:t>Comm'n</w:t>
      </w:r>
      <w:proofErr w:type="spellEnd"/>
      <w:r>
        <w:rPr>
          <w:rFonts w:ascii="Century Becker Schoolbook" w:hAnsi="Century Becker Schoolbook" w:cs="Century Becker Schoolbook"/>
          <w:sz w:val="28"/>
          <w:szCs w:val="28"/>
        </w:rPr>
        <w:t xml:space="preserve">, </w:t>
      </w:r>
    </w:p>
    <w:p w:rsidR="00000000" w:rsidRDefault="00AE1CCA">
      <w:pPr>
        <w:tabs>
          <w:tab w:val="right" w:leader="dot" w:pos="9358"/>
        </w:tabs>
        <w:rPr>
          <w:rFonts w:ascii="Century Becker Schoolbook" w:hAnsi="Century Becker Schoolbook" w:cs="Century Becker Schoolbook"/>
          <w:sz w:val="28"/>
          <w:szCs w:val="28"/>
        </w:rPr>
      </w:pPr>
      <w:r>
        <w:rPr>
          <w:rFonts w:ascii="Century Becker Schoolbook" w:hAnsi="Century Becker Schoolbook" w:cs="Century Becker Schoolbook"/>
          <w:sz w:val="28"/>
          <w:szCs w:val="28"/>
        </w:rPr>
        <w:t xml:space="preserve">560 A.2d 517 (D.C. 1989) </w:t>
      </w:r>
      <w:r>
        <w:rPr>
          <w:rFonts w:ascii="Century Becker Schoolbook" w:hAnsi="Century Becker Schoolbook" w:cs="Century Becker Schoolbook"/>
          <w:sz w:val="28"/>
          <w:szCs w:val="28"/>
        </w:rPr>
        <w:tab/>
        <w:t xml:space="preserve"> X</w:t>
      </w:r>
    </w:p>
    <w:p w:rsidR="00000000" w:rsidRDefault="00AE1CCA">
      <w:pPr>
        <w:rPr>
          <w:sz w:val="28"/>
          <w:szCs w:val="28"/>
        </w:rPr>
      </w:pPr>
    </w:p>
    <w:p w:rsidR="00000000" w:rsidRDefault="00AE1CCA">
      <w:pPr>
        <w:rPr>
          <w:sz w:val="28"/>
          <w:szCs w:val="28"/>
        </w:rPr>
      </w:pPr>
      <w:r>
        <w:rPr>
          <w:sz w:val="28"/>
          <w:szCs w:val="28"/>
          <w:u w:val="single"/>
        </w:rPr>
        <w:t>Statutes:</w:t>
      </w:r>
    </w:p>
    <w:p w:rsidR="00000000" w:rsidRDefault="00AE1CCA">
      <w:pPr>
        <w:rPr>
          <w:sz w:val="28"/>
          <w:szCs w:val="28"/>
        </w:rPr>
      </w:pPr>
      <w:r>
        <w:rPr>
          <w:sz w:val="28"/>
          <w:szCs w:val="28"/>
        </w:rPr>
        <w:t xml:space="preserve">District of Columbia Freedom of Information Act, </w:t>
      </w:r>
    </w:p>
    <w:p w:rsidR="00000000" w:rsidRDefault="00AE1CCA">
      <w:pPr>
        <w:rPr>
          <w:sz w:val="28"/>
          <w:szCs w:val="28"/>
        </w:rPr>
      </w:pPr>
      <w:r>
        <w:rPr>
          <w:sz w:val="28"/>
          <w:szCs w:val="28"/>
        </w:rPr>
        <w:t xml:space="preserve">D.C. Code </w:t>
      </w:r>
      <w:r>
        <w:rPr>
          <w:sz w:val="28"/>
          <w:szCs w:val="28"/>
        </w:rPr>
        <w:t>§</w:t>
      </w:r>
      <w:r>
        <w:rPr>
          <w:sz w:val="28"/>
          <w:szCs w:val="28"/>
        </w:rPr>
        <w:t xml:space="preserve"> 2-531 </w:t>
      </w:r>
      <w:r>
        <w:rPr>
          <w:i/>
          <w:iCs/>
          <w:sz w:val="28"/>
          <w:szCs w:val="28"/>
        </w:rPr>
        <w:t>et seq.</w:t>
      </w:r>
    </w:p>
    <w:p w:rsidR="00000000" w:rsidRDefault="00AE1CCA">
      <w:pPr>
        <w:tabs>
          <w:tab w:val="right" w:leader="dot" w:pos="9358"/>
        </w:tabs>
        <w:rPr>
          <w:sz w:val="28"/>
          <w:szCs w:val="28"/>
        </w:rPr>
      </w:pPr>
      <w:r>
        <w:rPr>
          <w:sz w:val="28"/>
          <w:szCs w:val="28"/>
        </w:rPr>
        <w:t xml:space="preserve">  D.C. Code </w:t>
      </w:r>
      <w:r>
        <w:rPr>
          <w:sz w:val="28"/>
          <w:szCs w:val="28"/>
        </w:rPr>
        <w:t>§</w:t>
      </w:r>
      <w:r>
        <w:rPr>
          <w:sz w:val="28"/>
          <w:szCs w:val="28"/>
        </w:rPr>
        <w:t xml:space="preserve"> 2-531 </w:t>
      </w:r>
      <w:r>
        <w:rPr>
          <w:sz w:val="28"/>
          <w:szCs w:val="28"/>
        </w:rPr>
        <w:tab/>
        <w:t>x</w:t>
      </w:r>
    </w:p>
    <w:p w:rsidR="00000000" w:rsidRDefault="00AE1CCA">
      <w:pPr>
        <w:rPr>
          <w:sz w:val="28"/>
          <w:szCs w:val="28"/>
        </w:rPr>
      </w:pPr>
      <w:r>
        <w:rPr>
          <w:sz w:val="28"/>
          <w:szCs w:val="28"/>
        </w:rPr>
        <w:t xml:space="preserve">  D.C. Code </w:t>
      </w:r>
      <w:r>
        <w:rPr>
          <w:sz w:val="28"/>
          <w:szCs w:val="28"/>
        </w:rPr>
        <w:t>§</w:t>
      </w:r>
      <w:r>
        <w:rPr>
          <w:sz w:val="28"/>
          <w:szCs w:val="28"/>
        </w:rPr>
        <w:t xml:space="preserve"> 2-532</w:t>
      </w:r>
    </w:p>
    <w:p w:rsidR="00000000" w:rsidRDefault="00AE1CCA">
      <w:pPr>
        <w:tabs>
          <w:tab w:val="right" w:leader="dot" w:pos="9358"/>
        </w:tabs>
        <w:rPr>
          <w:sz w:val="28"/>
          <w:szCs w:val="28"/>
        </w:rPr>
      </w:pPr>
      <w:r>
        <w:rPr>
          <w:sz w:val="28"/>
          <w:szCs w:val="28"/>
        </w:rPr>
        <w:lastRenderedPageBreak/>
        <w:t xml:space="preserve">  D.C. Code </w:t>
      </w:r>
      <w:r>
        <w:rPr>
          <w:sz w:val="28"/>
          <w:szCs w:val="28"/>
        </w:rPr>
        <w:t>§</w:t>
      </w:r>
      <w:r>
        <w:rPr>
          <w:sz w:val="28"/>
          <w:szCs w:val="28"/>
        </w:rPr>
        <w:t xml:space="preserve"> 2-534(a</w:t>
      </w:r>
      <w:proofErr w:type="gramStart"/>
      <w:r>
        <w:rPr>
          <w:sz w:val="28"/>
          <w:szCs w:val="28"/>
        </w:rPr>
        <w:t>)(</w:t>
      </w:r>
      <w:proofErr w:type="gramEnd"/>
      <w:r>
        <w:rPr>
          <w:sz w:val="28"/>
          <w:szCs w:val="28"/>
        </w:rPr>
        <w:t xml:space="preserve">1) </w:t>
      </w:r>
      <w:r>
        <w:rPr>
          <w:sz w:val="28"/>
          <w:szCs w:val="28"/>
        </w:rPr>
        <w:tab/>
        <w:t>x</w:t>
      </w:r>
    </w:p>
    <w:p w:rsidR="00000000" w:rsidRDefault="00AE1CCA">
      <w:pPr>
        <w:tabs>
          <w:tab w:val="right" w:leader="dot" w:pos="9358"/>
        </w:tabs>
        <w:rPr>
          <w:sz w:val="28"/>
          <w:szCs w:val="28"/>
        </w:rPr>
      </w:pPr>
      <w:r>
        <w:rPr>
          <w:sz w:val="28"/>
          <w:szCs w:val="28"/>
        </w:rPr>
        <w:t xml:space="preserve">  D.C. Code </w:t>
      </w:r>
      <w:r>
        <w:rPr>
          <w:sz w:val="28"/>
          <w:szCs w:val="28"/>
        </w:rPr>
        <w:t>§</w:t>
      </w:r>
      <w:r>
        <w:rPr>
          <w:sz w:val="28"/>
          <w:szCs w:val="28"/>
        </w:rPr>
        <w:t xml:space="preserve"> 2-534(a</w:t>
      </w:r>
      <w:proofErr w:type="gramStart"/>
      <w:r>
        <w:rPr>
          <w:sz w:val="28"/>
          <w:szCs w:val="28"/>
        </w:rPr>
        <w:t>)(</w:t>
      </w:r>
      <w:proofErr w:type="gramEnd"/>
      <w:r>
        <w:rPr>
          <w:sz w:val="28"/>
          <w:szCs w:val="28"/>
        </w:rPr>
        <w:t xml:space="preserve">2) </w:t>
      </w:r>
      <w:r>
        <w:rPr>
          <w:sz w:val="28"/>
          <w:szCs w:val="28"/>
        </w:rPr>
        <w:tab/>
        <w:t>x</w:t>
      </w:r>
    </w:p>
    <w:p w:rsidR="00000000" w:rsidRDefault="00AE1CCA">
      <w:pPr>
        <w:tabs>
          <w:tab w:val="right" w:leader="dot" w:pos="9358"/>
        </w:tabs>
        <w:rPr>
          <w:sz w:val="28"/>
          <w:szCs w:val="28"/>
        </w:rPr>
      </w:pPr>
      <w:r>
        <w:rPr>
          <w:sz w:val="28"/>
          <w:szCs w:val="28"/>
        </w:rPr>
        <w:t xml:space="preserve">  D.C. Code </w:t>
      </w:r>
      <w:r>
        <w:rPr>
          <w:sz w:val="28"/>
          <w:szCs w:val="28"/>
        </w:rPr>
        <w:t>§</w:t>
      </w:r>
      <w:r>
        <w:rPr>
          <w:sz w:val="28"/>
          <w:szCs w:val="28"/>
        </w:rPr>
        <w:t xml:space="preserve"> 2-534(a</w:t>
      </w:r>
      <w:proofErr w:type="gramStart"/>
      <w:r>
        <w:rPr>
          <w:sz w:val="28"/>
          <w:szCs w:val="28"/>
        </w:rPr>
        <w:t>)(</w:t>
      </w:r>
      <w:proofErr w:type="gramEnd"/>
      <w:r>
        <w:rPr>
          <w:sz w:val="28"/>
          <w:szCs w:val="28"/>
        </w:rPr>
        <w:t xml:space="preserve">6) </w:t>
      </w:r>
      <w:r>
        <w:rPr>
          <w:sz w:val="28"/>
          <w:szCs w:val="28"/>
        </w:rPr>
        <w:tab/>
        <w:t>x</w:t>
      </w:r>
    </w:p>
    <w:p w:rsidR="00000000" w:rsidRDefault="00AE1CCA">
      <w:pPr>
        <w:rPr>
          <w:rFonts w:ascii="Century Becker Schoolbook" w:hAnsi="Century Becker Schoolbook" w:cs="Century Becker Schoolbook"/>
          <w:sz w:val="28"/>
          <w:szCs w:val="28"/>
        </w:rPr>
      </w:pPr>
    </w:p>
    <w:p w:rsidR="00000000" w:rsidRDefault="00AE1CCA">
      <w:pPr>
        <w:tabs>
          <w:tab w:val="right" w:leader="dot" w:pos="9358"/>
        </w:tabs>
        <w:rPr>
          <w:sz w:val="28"/>
          <w:szCs w:val="28"/>
        </w:rPr>
      </w:pPr>
      <w:r>
        <w:rPr>
          <w:rFonts w:ascii="Century Becker Schoolbook" w:hAnsi="Century Becker Schoolbook" w:cs="Century Becker Schoolbook"/>
          <w:sz w:val="28"/>
          <w:szCs w:val="28"/>
        </w:rPr>
        <w:t xml:space="preserve">D.C. Code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47-4406(a) </w:t>
      </w:r>
      <w:r>
        <w:rPr>
          <w:sz w:val="28"/>
          <w:szCs w:val="28"/>
        </w:rPr>
        <w:tab/>
        <w:t>x</w:t>
      </w:r>
    </w:p>
    <w:p w:rsidR="00000000" w:rsidRDefault="00AE1CCA">
      <w:pPr>
        <w:rPr>
          <w:sz w:val="28"/>
          <w:szCs w:val="28"/>
        </w:rPr>
      </w:pPr>
    </w:p>
    <w:p w:rsidR="00000000" w:rsidRDefault="00AE1CCA">
      <w:pPr>
        <w:rPr>
          <w:sz w:val="28"/>
          <w:szCs w:val="28"/>
        </w:rPr>
      </w:pPr>
      <w:r>
        <w:rPr>
          <w:sz w:val="28"/>
          <w:szCs w:val="28"/>
        </w:rPr>
        <w:t xml:space="preserve">Internal Revenue Code, 26 U.S.C. </w:t>
      </w:r>
      <w:r>
        <w:rPr>
          <w:sz w:val="28"/>
          <w:szCs w:val="28"/>
        </w:rPr>
        <w:t>§</w:t>
      </w:r>
      <w:r>
        <w:rPr>
          <w:sz w:val="28"/>
          <w:szCs w:val="28"/>
        </w:rPr>
        <w:t xml:space="preserve"> 1 et seq.</w:t>
      </w:r>
    </w:p>
    <w:p w:rsidR="00000000" w:rsidRDefault="00AE1CCA">
      <w:pPr>
        <w:tabs>
          <w:tab w:val="right" w:leader="dot" w:pos="9358"/>
        </w:tabs>
        <w:rPr>
          <w:sz w:val="28"/>
          <w:szCs w:val="28"/>
        </w:rPr>
      </w:pPr>
      <w:r>
        <w:rPr>
          <w:sz w:val="28"/>
          <w:szCs w:val="28"/>
        </w:rPr>
        <w:t xml:space="preserve">  I.R.C. </w:t>
      </w:r>
      <w:r>
        <w:rPr>
          <w:sz w:val="28"/>
          <w:szCs w:val="28"/>
        </w:rPr>
        <w:t>§</w:t>
      </w:r>
      <w:r>
        <w:rPr>
          <w:sz w:val="28"/>
          <w:szCs w:val="28"/>
        </w:rPr>
        <w:t xml:space="preserve"> 6103 </w:t>
      </w:r>
      <w:r>
        <w:rPr>
          <w:sz w:val="28"/>
          <w:szCs w:val="28"/>
        </w:rPr>
        <w:tab/>
        <w:t>x</w:t>
      </w:r>
    </w:p>
    <w:p w:rsidR="00000000" w:rsidRDefault="00AE1CCA">
      <w:pPr>
        <w:tabs>
          <w:tab w:val="right" w:leader="dot" w:pos="9358"/>
        </w:tabs>
        <w:rPr>
          <w:sz w:val="28"/>
          <w:szCs w:val="28"/>
        </w:rPr>
      </w:pPr>
      <w:r>
        <w:rPr>
          <w:sz w:val="28"/>
          <w:szCs w:val="28"/>
        </w:rPr>
        <w:t xml:space="preserve">  I.R.C. </w:t>
      </w:r>
      <w:r>
        <w:rPr>
          <w:sz w:val="28"/>
          <w:szCs w:val="28"/>
        </w:rPr>
        <w:t>§</w:t>
      </w:r>
      <w:r>
        <w:rPr>
          <w:sz w:val="28"/>
          <w:szCs w:val="28"/>
        </w:rPr>
        <w:t xml:space="preserve"> 6110 </w:t>
      </w:r>
      <w:r>
        <w:rPr>
          <w:sz w:val="28"/>
          <w:szCs w:val="28"/>
        </w:rPr>
        <w:tab/>
        <w:t>x</w:t>
      </w:r>
    </w:p>
    <w:p w:rsidR="00000000" w:rsidRDefault="00AE1CCA">
      <w:pPr>
        <w:rPr>
          <w:sz w:val="28"/>
          <w:szCs w:val="28"/>
        </w:rPr>
      </w:pPr>
    </w:p>
    <w:p w:rsidR="00000000" w:rsidRDefault="00AE1CCA">
      <w:pPr>
        <w:tabs>
          <w:tab w:val="left" w:pos="-179"/>
        </w:tabs>
        <w:rPr>
          <w:sz w:val="28"/>
          <w:szCs w:val="28"/>
        </w:rPr>
      </w:pPr>
      <w:r>
        <w:rPr>
          <w:sz w:val="28"/>
          <w:szCs w:val="28"/>
        </w:rPr>
        <w:t xml:space="preserve">* </w:t>
      </w:r>
    </w:p>
    <w:p w:rsidR="00000000" w:rsidRDefault="00AE1CCA">
      <w:pPr>
        <w:tabs>
          <w:tab w:val="left" w:pos="-179"/>
        </w:tabs>
        <w:rPr>
          <w:sz w:val="28"/>
          <w:szCs w:val="28"/>
        </w:rPr>
        <w:sectPr w:rsidR="00000000">
          <w:footerReference w:type="default" r:id="rId8"/>
          <w:type w:val="continuous"/>
          <w:pgSz w:w="12240" w:h="15840"/>
          <w:pgMar w:top="1350" w:right="1440" w:bottom="1440" w:left="1440" w:header="1440" w:footer="1440" w:gutter="0"/>
          <w:pgNumType w:fmt="lowerRoman"/>
          <w:cols w:space="720"/>
          <w:noEndnote/>
        </w:sectPr>
      </w:pPr>
    </w:p>
    <w:p w:rsidR="00000000" w:rsidRDefault="00AE1CCA">
      <w:pPr>
        <w:tabs>
          <w:tab w:val="left" w:pos="-179"/>
        </w:tabs>
        <w:rPr>
          <w:sz w:val="28"/>
          <w:szCs w:val="28"/>
        </w:rPr>
      </w:pPr>
      <w:r>
        <w:rPr>
          <w:sz w:val="28"/>
          <w:szCs w:val="28"/>
        </w:rPr>
        <w:t>__________</w:t>
      </w:r>
    </w:p>
    <w:p w:rsidR="00000000" w:rsidRDefault="00AE1CCA">
      <w:pPr>
        <w:tabs>
          <w:tab w:val="left" w:pos="-179"/>
        </w:tabs>
        <w:rPr>
          <w:sz w:val="28"/>
          <w:szCs w:val="28"/>
        </w:rPr>
      </w:pPr>
    </w:p>
    <w:p w:rsidR="00000000" w:rsidRDefault="00AE1CCA">
      <w:pPr>
        <w:tabs>
          <w:tab w:val="left" w:pos="-179"/>
        </w:tabs>
        <w:rPr>
          <w:sz w:val="28"/>
          <w:szCs w:val="28"/>
        </w:rPr>
      </w:pPr>
      <w:r>
        <w:rPr>
          <w:sz w:val="28"/>
          <w:szCs w:val="28"/>
        </w:rPr>
        <w:tab/>
        <w:t>* Authorities principally relied upon are indicated by an asterisk.</w:t>
      </w:r>
    </w:p>
    <w:p w:rsidR="00000000" w:rsidRDefault="00AE1CCA">
      <w:pPr>
        <w:tabs>
          <w:tab w:val="left" w:pos="-179"/>
        </w:tabs>
        <w:rPr>
          <w:sz w:val="28"/>
          <w:szCs w:val="28"/>
        </w:rPr>
      </w:pPr>
    </w:p>
    <w:p w:rsidR="00000000" w:rsidRDefault="00AE1CCA">
      <w:pPr>
        <w:tabs>
          <w:tab w:val="left" w:pos="-179"/>
        </w:tabs>
        <w:rPr>
          <w:sz w:val="28"/>
          <w:szCs w:val="28"/>
        </w:rPr>
      </w:pPr>
      <w:r>
        <w:rPr>
          <w:sz w:val="28"/>
          <w:szCs w:val="28"/>
          <w:u w:val="single"/>
        </w:rPr>
        <w:t>Court r</w:t>
      </w:r>
      <w:r>
        <w:rPr>
          <w:sz w:val="28"/>
          <w:szCs w:val="28"/>
          <w:u w:val="single"/>
        </w:rPr>
        <w:t>ules:</w:t>
      </w:r>
    </w:p>
    <w:p w:rsidR="00000000" w:rsidRDefault="00AE1CCA">
      <w:pPr>
        <w:tabs>
          <w:tab w:val="left" w:pos="-179"/>
        </w:tabs>
        <w:rPr>
          <w:sz w:val="28"/>
          <w:szCs w:val="28"/>
        </w:rPr>
      </w:pPr>
      <w:r>
        <w:rPr>
          <w:sz w:val="28"/>
          <w:szCs w:val="28"/>
        </w:rPr>
        <w:t>Superior Court Rules of Civil Procedure</w:t>
      </w:r>
    </w:p>
    <w:p w:rsidR="00000000" w:rsidRDefault="00AE1CCA">
      <w:pPr>
        <w:tabs>
          <w:tab w:val="right" w:leader="dot" w:pos="9358"/>
        </w:tabs>
        <w:rPr>
          <w:sz w:val="28"/>
          <w:szCs w:val="28"/>
        </w:rPr>
      </w:pPr>
      <w:r>
        <w:rPr>
          <w:sz w:val="28"/>
          <w:szCs w:val="28"/>
        </w:rPr>
        <w:t xml:space="preserve">  Rule 12(b</w:t>
      </w:r>
      <w:proofErr w:type="gramStart"/>
      <w:r>
        <w:rPr>
          <w:sz w:val="28"/>
          <w:szCs w:val="28"/>
        </w:rPr>
        <w:t>)(</w:t>
      </w:r>
      <w:proofErr w:type="gramEnd"/>
      <w:r>
        <w:rPr>
          <w:sz w:val="28"/>
          <w:szCs w:val="28"/>
        </w:rPr>
        <w:t xml:space="preserve">6) </w:t>
      </w:r>
      <w:r>
        <w:rPr>
          <w:sz w:val="28"/>
          <w:szCs w:val="28"/>
        </w:rPr>
        <w:tab/>
        <w:t>x</w:t>
      </w:r>
    </w:p>
    <w:p w:rsidR="00000000" w:rsidRDefault="00AE1CCA">
      <w:pPr>
        <w:tabs>
          <w:tab w:val="right" w:leader="dot" w:pos="9358"/>
        </w:tabs>
        <w:rPr>
          <w:sz w:val="28"/>
          <w:szCs w:val="28"/>
        </w:rPr>
      </w:pPr>
      <w:r>
        <w:rPr>
          <w:sz w:val="28"/>
          <w:szCs w:val="28"/>
        </w:rPr>
        <w:t xml:space="preserve">  Rule 56(a) </w:t>
      </w:r>
      <w:r>
        <w:rPr>
          <w:sz w:val="28"/>
          <w:szCs w:val="28"/>
        </w:rPr>
        <w:tab/>
        <w:t>x</w:t>
      </w:r>
    </w:p>
    <w:p w:rsidR="00000000" w:rsidRDefault="00AE1CCA">
      <w:pPr>
        <w:tabs>
          <w:tab w:val="left" w:pos="-179"/>
        </w:tabs>
        <w:rPr>
          <w:sz w:val="28"/>
          <w:szCs w:val="28"/>
        </w:rPr>
      </w:pPr>
    </w:p>
    <w:p w:rsidR="00000000" w:rsidRDefault="00AE1CCA">
      <w:pPr>
        <w:tabs>
          <w:tab w:val="left" w:pos="-179"/>
        </w:tabs>
        <w:rPr>
          <w:sz w:val="28"/>
          <w:szCs w:val="28"/>
        </w:rPr>
      </w:pPr>
      <w:r>
        <w:rPr>
          <w:sz w:val="28"/>
          <w:szCs w:val="28"/>
          <w:u w:val="single"/>
        </w:rPr>
        <w:t>Other authorities:</w:t>
      </w:r>
    </w:p>
    <w:p w:rsidR="00000000" w:rsidRDefault="00AE1CCA">
      <w:pPr>
        <w:tabs>
          <w:tab w:val="right" w:leader="dot" w:pos="9358"/>
        </w:tabs>
        <w:rPr>
          <w:sz w:val="28"/>
          <w:szCs w:val="28"/>
        </w:rPr>
      </w:pPr>
      <w:r>
        <w:rPr>
          <w:rFonts w:ascii="Century Becker Schoolbook" w:hAnsi="Century Becker Schoolbook" w:cs="Century Becker Schoolbook"/>
          <w:sz w:val="28"/>
          <w:szCs w:val="28"/>
        </w:rPr>
        <w:t xml:space="preserve">Joint Committee on Taxation, </w:t>
      </w:r>
      <w:r>
        <w:rPr>
          <w:rFonts w:ascii="Century Becker Schoolbook" w:hAnsi="Century Becker Schoolbook" w:cs="Century Becker Schoolbook"/>
          <w:i/>
          <w:iCs/>
          <w:sz w:val="28"/>
          <w:szCs w:val="28"/>
        </w:rPr>
        <w:t>General Explanation of the Tax Reform Act of 1976</w:t>
      </w:r>
      <w:r>
        <w:rPr>
          <w:rFonts w:ascii="Century Becker Schoolbook" w:hAnsi="Century Becker Schoolbook" w:cs="Century Becker Schoolbook"/>
          <w:sz w:val="28"/>
          <w:szCs w:val="28"/>
        </w:rPr>
        <w:t>, 94</w:t>
      </w:r>
      <w:r>
        <w:rPr>
          <w:rFonts w:ascii="Century Becker Schoolbook" w:hAnsi="Century Becker Schoolbook" w:cs="Century Becker Schoolbook"/>
          <w:sz w:val="28"/>
          <w:szCs w:val="28"/>
          <w:vertAlign w:val="superscript"/>
        </w:rPr>
        <w:t>th</w:t>
      </w:r>
      <w:r>
        <w:rPr>
          <w:rFonts w:ascii="Century Becker Schoolbook" w:hAnsi="Century Becker Schoolbook" w:cs="Century Becker Schoolbook"/>
          <w:sz w:val="28"/>
          <w:szCs w:val="28"/>
        </w:rPr>
        <w:t xml:space="preserve"> Cong., 2d Sess. 304, 305 (1976), available at </w:t>
      </w:r>
      <w:hyperlink r:id="rId9" w:history="1">
        <w:r>
          <w:rPr>
            <w:rStyle w:val="SYSHYPERTEXT"/>
            <w:rFonts w:ascii="Century Becker Schoolbook" w:hAnsi="Century Becker Schoolbook" w:cs="Century Becker Schoolbook"/>
            <w:sz w:val="28"/>
            <w:szCs w:val="28"/>
          </w:rPr>
          <w:t>https://archive.org/stream/generalexplanati00jcs3376/generalexplanati00jcs3376_djvu.txt</w:t>
        </w:r>
      </w:hyperlink>
      <w:r>
        <w:rPr>
          <w:rFonts w:ascii="Century Becker Schoolbook" w:hAnsi="Century Becker Schoolbook" w:cs="Century Becker Schoolbook"/>
          <w:sz w:val="28"/>
          <w:szCs w:val="28"/>
        </w:rPr>
        <w:t xml:space="preserve">.  </w:t>
      </w:r>
      <w:r>
        <w:rPr>
          <w:rFonts w:ascii="Century Becker Schoolbook" w:hAnsi="Century Becker Schoolbook" w:cs="Century Becker Schoolbook"/>
          <w:sz w:val="28"/>
          <w:szCs w:val="28"/>
        </w:rPr>
        <w:tab/>
      </w:r>
      <w:proofErr w:type="gramStart"/>
      <w:r>
        <w:rPr>
          <w:rFonts w:ascii="Century Becker Schoolbook" w:hAnsi="Century Becker Schoolbook" w:cs="Century Becker Schoolbook"/>
          <w:sz w:val="28"/>
          <w:szCs w:val="28"/>
        </w:rPr>
        <w:t>x</w:t>
      </w:r>
      <w:proofErr w:type="gramEnd"/>
      <w:r>
        <w:rPr>
          <w:rFonts w:ascii="Century Becker Schoolbook" w:hAnsi="Century Becker Schoolbook" w:cs="Century Becker Schoolbook"/>
          <w:sz w:val="28"/>
          <w:szCs w:val="28"/>
        </w:rPr>
        <w:t xml:space="preserve"> </w:t>
      </w:r>
    </w:p>
    <w:p w:rsidR="00000000" w:rsidRDefault="00AE1CCA">
      <w:pPr>
        <w:tabs>
          <w:tab w:val="left" w:pos="-179"/>
        </w:tabs>
        <w:rPr>
          <w:sz w:val="28"/>
          <w:szCs w:val="28"/>
        </w:rPr>
      </w:pPr>
    </w:p>
    <w:p w:rsidR="00000000" w:rsidRDefault="00AE1CCA">
      <w:pPr>
        <w:tabs>
          <w:tab w:val="left" w:pos="-179"/>
        </w:tabs>
        <w:rPr>
          <w:sz w:val="28"/>
          <w:szCs w:val="28"/>
        </w:rPr>
        <w:sectPr w:rsidR="00000000">
          <w:footerReference w:type="default" r:id="rId10"/>
          <w:type w:val="continuous"/>
          <w:pgSz w:w="12240" w:h="15840"/>
          <w:pgMar w:top="1350" w:right="1440" w:bottom="1440" w:left="1440" w:header="1440" w:footer="1440" w:gutter="0"/>
          <w:pgNumType w:fmt="lowerRoman"/>
          <w:cols w:space="720"/>
          <w:noEndnote/>
        </w:sectPr>
      </w:pPr>
    </w:p>
    <w:p w:rsidR="00000000" w:rsidRPr="00256085" w:rsidRDefault="00AE1CCA">
      <w:pPr>
        <w:tabs>
          <w:tab w:val="left" w:pos="-179"/>
        </w:tabs>
        <w:jc w:val="center"/>
        <w:rPr>
          <w:rFonts w:ascii="Olde English" w:hAnsi="Olde English"/>
          <w:sz w:val="28"/>
          <w:szCs w:val="28"/>
        </w:rPr>
      </w:pPr>
      <w:r w:rsidRPr="00256085">
        <w:rPr>
          <w:rFonts w:ascii="Olde English" w:hAnsi="Olde English" w:cs="Old English Text MT"/>
          <w:sz w:val="40"/>
          <w:szCs w:val="40"/>
        </w:rPr>
        <w:lastRenderedPageBreak/>
        <w:t>District of Columbia Court of Appeals</w:t>
      </w:r>
    </w:p>
    <w:p w:rsidR="00000000" w:rsidRPr="00256085" w:rsidRDefault="00AE1CCA">
      <w:pPr>
        <w:tabs>
          <w:tab w:val="left" w:pos="-179"/>
        </w:tabs>
        <w:rPr>
          <w:rFonts w:ascii="Century" w:hAnsi="Century"/>
          <w:sz w:val="28"/>
          <w:szCs w:val="28"/>
        </w:rPr>
      </w:pPr>
      <w:r w:rsidRPr="00256085">
        <w:rPr>
          <w:rFonts w:ascii="Century" w:hAnsi="Century"/>
          <w:sz w:val="28"/>
          <w:szCs w:val="28"/>
        </w:rPr>
        <w:t xml:space="preserve">__________________________________________ </w:t>
      </w:r>
    </w:p>
    <w:p w:rsidR="00000000" w:rsidRPr="00256085" w:rsidRDefault="00AE1CCA">
      <w:pPr>
        <w:tabs>
          <w:tab w:val="left" w:pos="-179"/>
        </w:tabs>
        <w:ind w:left="5760" w:hanging="5760"/>
        <w:rPr>
          <w:rFonts w:ascii="Century" w:hAnsi="Century"/>
          <w:sz w:val="28"/>
          <w:szCs w:val="28"/>
        </w:rPr>
      </w:pP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w:t>
      </w:r>
    </w:p>
    <w:p w:rsidR="00000000" w:rsidRPr="00256085" w:rsidRDefault="00AE1CCA">
      <w:pPr>
        <w:tabs>
          <w:tab w:val="left" w:pos="-179"/>
        </w:tabs>
        <w:ind w:left="5760" w:hanging="5760"/>
        <w:rPr>
          <w:rFonts w:ascii="Century" w:hAnsi="Century"/>
          <w:sz w:val="28"/>
          <w:szCs w:val="28"/>
        </w:rPr>
      </w:pPr>
      <w:r w:rsidRPr="00256085">
        <w:rPr>
          <w:rFonts w:ascii="Century" w:hAnsi="Century"/>
          <w:sz w:val="28"/>
          <w:szCs w:val="28"/>
        </w:rPr>
        <w:t xml:space="preserve">TAX ANALYSTS and AARON DAVIS, </w:t>
      </w:r>
      <w:r w:rsidRPr="00256085">
        <w:rPr>
          <w:rFonts w:ascii="Century" w:hAnsi="Century"/>
          <w:sz w:val="28"/>
          <w:szCs w:val="28"/>
        </w:rPr>
        <w:tab/>
        <w:t xml:space="preserve"> </w:t>
      </w:r>
      <w:r w:rsidR="00256085" w:rsidRPr="00256085">
        <w:rPr>
          <w:rFonts w:ascii="Century" w:hAnsi="Century"/>
          <w:sz w:val="28"/>
          <w:szCs w:val="28"/>
        </w:rPr>
        <w:tab/>
        <w:t xml:space="preserve"> </w:t>
      </w:r>
      <w:r w:rsidRPr="00256085">
        <w:rPr>
          <w:rFonts w:ascii="Century" w:hAnsi="Century"/>
          <w:sz w:val="28"/>
          <w:szCs w:val="28"/>
        </w:rPr>
        <w:t>)</w:t>
      </w:r>
    </w:p>
    <w:p w:rsidR="00000000" w:rsidRPr="00256085" w:rsidRDefault="00AE1CCA">
      <w:pPr>
        <w:tabs>
          <w:tab w:val="left" w:pos="-179"/>
        </w:tabs>
        <w:ind w:left="5760" w:hanging="4320"/>
        <w:rPr>
          <w:rFonts w:ascii="Century" w:hAnsi="Century"/>
          <w:sz w:val="28"/>
          <w:szCs w:val="28"/>
        </w:rPr>
      </w:pPr>
      <w:r w:rsidRPr="00256085">
        <w:rPr>
          <w:rFonts w:ascii="Century" w:hAnsi="Century"/>
          <w:sz w:val="28"/>
          <w:szCs w:val="28"/>
        </w:rPr>
        <w:t xml:space="preserve"> </w:t>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w:t>
      </w:r>
    </w:p>
    <w:p w:rsidR="00000000" w:rsidRPr="00256085" w:rsidRDefault="00AE1CCA">
      <w:pPr>
        <w:tabs>
          <w:tab w:val="left" w:pos="-179"/>
        </w:tabs>
        <w:ind w:left="5760" w:hanging="2880"/>
        <w:rPr>
          <w:rFonts w:ascii="Century" w:hAnsi="Century"/>
          <w:sz w:val="28"/>
          <w:szCs w:val="28"/>
        </w:rPr>
      </w:pPr>
      <w:r w:rsidRPr="00256085">
        <w:rPr>
          <w:rFonts w:ascii="Century" w:hAnsi="Century"/>
          <w:i/>
          <w:iCs/>
          <w:sz w:val="28"/>
          <w:szCs w:val="28"/>
        </w:rPr>
        <w:t xml:space="preserve">Plaintiffs-Appellants, </w:t>
      </w:r>
      <w:r w:rsidRPr="00256085">
        <w:rPr>
          <w:rFonts w:ascii="Century" w:hAnsi="Century"/>
          <w:sz w:val="28"/>
          <w:szCs w:val="28"/>
        </w:rPr>
        <w:tab/>
        <w:t xml:space="preserve"> )</w:t>
      </w:r>
    </w:p>
    <w:p w:rsidR="00000000" w:rsidRPr="00256085" w:rsidRDefault="00AE1CCA">
      <w:pPr>
        <w:tabs>
          <w:tab w:val="left" w:pos="-179"/>
        </w:tabs>
        <w:ind w:left="5760" w:hanging="5760"/>
        <w:rPr>
          <w:rFonts w:ascii="Century" w:hAnsi="Century"/>
          <w:sz w:val="28"/>
          <w:szCs w:val="28"/>
        </w:rPr>
      </w:pP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w:t>
      </w:r>
    </w:p>
    <w:p w:rsidR="00000000" w:rsidRPr="00256085" w:rsidRDefault="00AE1CCA">
      <w:pPr>
        <w:tabs>
          <w:tab w:val="left" w:pos="-179"/>
        </w:tabs>
        <w:ind w:left="6480" w:hanging="6480"/>
        <w:rPr>
          <w:rFonts w:ascii="Century" w:hAnsi="Century"/>
          <w:sz w:val="28"/>
          <w:szCs w:val="28"/>
        </w:rPr>
      </w:pPr>
      <w:r w:rsidRPr="00256085">
        <w:rPr>
          <w:rFonts w:ascii="Century" w:hAnsi="Century"/>
          <w:sz w:val="28"/>
          <w:szCs w:val="28"/>
        </w:rPr>
        <w:tab/>
        <w:t>v.</w:t>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  </w:t>
      </w:r>
      <w:r w:rsidRPr="00256085">
        <w:rPr>
          <w:rFonts w:ascii="Century" w:hAnsi="Century"/>
          <w:sz w:val="28"/>
          <w:szCs w:val="28"/>
        </w:rPr>
        <w:tab/>
        <w:t xml:space="preserve">No. 21-CV-31 </w:t>
      </w:r>
    </w:p>
    <w:p w:rsidR="00000000" w:rsidRPr="00256085" w:rsidRDefault="00AE1CCA">
      <w:pPr>
        <w:tabs>
          <w:tab w:val="left" w:pos="-179"/>
        </w:tabs>
        <w:ind w:left="6480" w:hanging="6480"/>
        <w:rPr>
          <w:rFonts w:ascii="Century" w:hAnsi="Century"/>
          <w:sz w:val="28"/>
          <w:szCs w:val="28"/>
        </w:rPr>
      </w:pP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  </w:t>
      </w:r>
      <w:r w:rsidRPr="00256085">
        <w:rPr>
          <w:rFonts w:ascii="Century" w:hAnsi="Century"/>
          <w:sz w:val="28"/>
          <w:szCs w:val="28"/>
        </w:rPr>
        <w:tab/>
      </w:r>
    </w:p>
    <w:p w:rsidR="00000000" w:rsidRPr="00256085" w:rsidRDefault="00AE1CCA">
      <w:pPr>
        <w:tabs>
          <w:tab w:val="left" w:pos="-179"/>
        </w:tabs>
        <w:ind w:left="5760" w:hanging="5760"/>
        <w:rPr>
          <w:rFonts w:ascii="Century" w:hAnsi="Century"/>
          <w:sz w:val="28"/>
          <w:szCs w:val="28"/>
        </w:rPr>
      </w:pPr>
      <w:r w:rsidRPr="00256085">
        <w:rPr>
          <w:rFonts w:ascii="Century" w:hAnsi="Century"/>
          <w:sz w:val="28"/>
          <w:szCs w:val="28"/>
        </w:rPr>
        <w:t>DISTRICT OF COLUMBIA</w:t>
      </w:r>
      <w:proofErr w:type="gramStart"/>
      <w:r w:rsidRPr="00256085">
        <w:rPr>
          <w:rFonts w:ascii="Century" w:hAnsi="Century"/>
          <w:sz w:val="28"/>
          <w:szCs w:val="28"/>
        </w:rPr>
        <w:t>,</w:t>
      </w:r>
      <w:r w:rsidRPr="00256085">
        <w:rPr>
          <w:rFonts w:ascii="Century" w:hAnsi="Century"/>
          <w:i/>
          <w:iCs/>
          <w:sz w:val="28"/>
          <w:szCs w:val="28"/>
        </w:rPr>
        <w:t>,</w:t>
      </w:r>
      <w:proofErr w:type="gramEnd"/>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w:t>
      </w:r>
    </w:p>
    <w:p w:rsidR="00000000" w:rsidRPr="00256085" w:rsidRDefault="00AE1CCA">
      <w:pPr>
        <w:tabs>
          <w:tab w:val="left" w:pos="-179"/>
        </w:tabs>
        <w:ind w:left="5760" w:hanging="2880"/>
        <w:rPr>
          <w:rFonts w:ascii="Century" w:hAnsi="Century"/>
          <w:sz w:val="28"/>
          <w:szCs w:val="28"/>
        </w:rPr>
      </w:pPr>
      <w:r w:rsidRPr="00256085">
        <w:rPr>
          <w:rFonts w:ascii="Century" w:hAnsi="Century"/>
          <w:sz w:val="28"/>
          <w:szCs w:val="28"/>
        </w:rPr>
        <w:t xml:space="preserve"> </w:t>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t xml:space="preserve"> )</w:t>
      </w:r>
    </w:p>
    <w:p w:rsidR="00000000" w:rsidRPr="00256085" w:rsidRDefault="00AE1CCA">
      <w:pPr>
        <w:tabs>
          <w:tab w:val="left" w:pos="-179"/>
        </w:tabs>
        <w:ind w:left="5760" w:hanging="5760"/>
        <w:rPr>
          <w:rFonts w:ascii="Century" w:hAnsi="Century"/>
          <w:sz w:val="28"/>
          <w:szCs w:val="28"/>
        </w:rPr>
      </w:pP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r w:rsidRPr="00256085">
        <w:rPr>
          <w:rFonts w:ascii="Century" w:hAnsi="Century"/>
          <w:i/>
          <w:iCs/>
          <w:sz w:val="28"/>
          <w:szCs w:val="28"/>
        </w:rPr>
        <w:t>Defendant-Appellee.</w:t>
      </w:r>
      <w:r w:rsidRPr="00256085">
        <w:rPr>
          <w:rFonts w:ascii="Century" w:hAnsi="Century"/>
          <w:sz w:val="28"/>
          <w:szCs w:val="28"/>
        </w:rPr>
        <w:tab/>
        <w:t xml:space="preserve"> )</w:t>
      </w:r>
    </w:p>
    <w:p w:rsidR="00000000" w:rsidRPr="00256085" w:rsidRDefault="00AE1CCA">
      <w:pPr>
        <w:tabs>
          <w:tab w:val="left" w:pos="-179"/>
        </w:tabs>
        <w:rPr>
          <w:rFonts w:ascii="Century" w:hAnsi="Century"/>
          <w:sz w:val="28"/>
          <w:szCs w:val="28"/>
        </w:rPr>
      </w:pPr>
      <w:r w:rsidRPr="00256085">
        <w:rPr>
          <w:rFonts w:ascii="Century" w:hAnsi="Century"/>
          <w:sz w:val="28"/>
          <w:szCs w:val="28"/>
        </w:rPr>
        <w:t>_________________________________________ )</w:t>
      </w:r>
    </w:p>
    <w:p w:rsidR="00000000" w:rsidRPr="00256085" w:rsidRDefault="00AE1CCA">
      <w:pPr>
        <w:tabs>
          <w:tab w:val="left" w:pos="-179"/>
        </w:tabs>
        <w:rPr>
          <w:rFonts w:ascii="Century" w:hAnsi="Century"/>
          <w:sz w:val="28"/>
          <w:szCs w:val="28"/>
        </w:rPr>
      </w:pPr>
    </w:p>
    <w:p w:rsidR="00000000" w:rsidRPr="00256085" w:rsidRDefault="00AE1CCA">
      <w:pPr>
        <w:tabs>
          <w:tab w:val="left" w:pos="-179"/>
        </w:tabs>
        <w:jc w:val="center"/>
        <w:rPr>
          <w:rFonts w:ascii="Century" w:hAnsi="Century"/>
          <w:sz w:val="28"/>
          <w:szCs w:val="28"/>
        </w:rPr>
      </w:pPr>
      <w:r w:rsidRPr="00256085">
        <w:rPr>
          <w:rFonts w:ascii="Century" w:hAnsi="Century"/>
          <w:b/>
          <w:bCs/>
          <w:sz w:val="28"/>
          <w:szCs w:val="28"/>
          <w:u w:val="single"/>
        </w:rPr>
        <w:t xml:space="preserve">BRIEF </w:t>
      </w:r>
      <w:r w:rsidRPr="00256085">
        <w:rPr>
          <w:rFonts w:ascii="Century" w:hAnsi="Century"/>
          <w:b/>
          <w:bCs/>
          <w:sz w:val="28"/>
          <w:szCs w:val="28"/>
          <w:u w:val="single"/>
        </w:rPr>
        <w:t xml:space="preserve">FOR </w:t>
      </w:r>
      <w:r w:rsidRPr="00256085">
        <w:rPr>
          <w:rFonts w:ascii="Century" w:hAnsi="Century"/>
          <w:b/>
          <w:bCs/>
          <w:sz w:val="28"/>
          <w:szCs w:val="28"/>
          <w:u w:val="single"/>
        </w:rPr>
        <w:t>PLAINTIFFS-APPELLANTS</w:t>
      </w:r>
    </w:p>
    <w:p w:rsidR="00000000" w:rsidRPr="00256085" w:rsidRDefault="00AE1CCA">
      <w:pPr>
        <w:tabs>
          <w:tab w:val="left" w:pos="-179"/>
        </w:tabs>
        <w:rPr>
          <w:rFonts w:ascii="Century" w:hAnsi="Century"/>
          <w:sz w:val="28"/>
          <w:szCs w:val="28"/>
        </w:rPr>
      </w:pPr>
      <w:r w:rsidRPr="00256085">
        <w:rPr>
          <w:rFonts w:ascii="Century" w:hAnsi="Century"/>
          <w:sz w:val="28"/>
          <w:szCs w:val="28"/>
        </w:rPr>
        <w:tab/>
      </w:r>
      <w:r w:rsidRPr="00256085">
        <w:rPr>
          <w:rFonts w:ascii="Century" w:hAnsi="Century"/>
          <w:sz w:val="28"/>
          <w:szCs w:val="28"/>
        </w:rPr>
        <w:tab/>
      </w:r>
      <w:r w:rsidRPr="00256085">
        <w:rPr>
          <w:rFonts w:ascii="Century" w:hAnsi="Century"/>
          <w:sz w:val="28"/>
          <w:szCs w:val="28"/>
        </w:rPr>
        <w:tab/>
      </w:r>
    </w:p>
    <w:p w:rsidR="00000000" w:rsidRPr="00256085" w:rsidRDefault="00AE1CCA">
      <w:pPr>
        <w:tabs>
          <w:tab w:val="left" w:pos="-179"/>
        </w:tabs>
        <w:spacing w:line="480" w:lineRule="auto"/>
        <w:jc w:val="center"/>
        <w:rPr>
          <w:rFonts w:ascii="Century" w:hAnsi="Century"/>
          <w:sz w:val="28"/>
          <w:szCs w:val="28"/>
        </w:rPr>
      </w:pPr>
      <w:r w:rsidRPr="00256085">
        <w:rPr>
          <w:rFonts w:ascii="Century" w:hAnsi="Century"/>
          <w:b/>
          <w:bCs/>
          <w:sz w:val="28"/>
          <w:szCs w:val="28"/>
          <w:u w:val="single"/>
        </w:rPr>
        <w:t>STATEMENT REGARDING FINALITY AND JURISDICTION</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 xml:space="preserve">This is an appeal from a final judgment that disposed of all parties’ claims. </w:t>
      </w:r>
    </w:p>
    <w:p w:rsidR="00000000" w:rsidRPr="00256085" w:rsidRDefault="00AE1CCA">
      <w:pPr>
        <w:tabs>
          <w:tab w:val="left" w:pos="-179"/>
        </w:tabs>
        <w:spacing w:line="480" w:lineRule="auto"/>
        <w:jc w:val="center"/>
        <w:rPr>
          <w:rFonts w:ascii="Century" w:hAnsi="Century"/>
          <w:sz w:val="28"/>
          <w:szCs w:val="28"/>
        </w:rPr>
      </w:pPr>
      <w:r w:rsidRPr="00256085">
        <w:rPr>
          <w:rFonts w:ascii="Century" w:hAnsi="Century"/>
          <w:b/>
          <w:bCs/>
          <w:sz w:val="28"/>
          <w:szCs w:val="28"/>
          <w:u w:val="single"/>
        </w:rPr>
        <w:t>QUESTION PRESENTED</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At issue in this Freedom of Information Act (“FOIA”) case is public acce</w:t>
      </w:r>
      <w:r w:rsidRPr="00256085">
        <w:rPr>
          <w:rFonts w:ascii="Century" w:hAnsi="Century"/>
          <w:sz w:val="28"/>
          <w:szCs w:val="28"/>
        </w:rPr>
        <w:t xml:space="preserve">ss to “private letter rulings” issued by the Office of Tax and </w:t>
      </w:r>
      <w:r w:rsidRPr="00256085">
        <w:rPr>
          <w:rFonts w:ascii="Century" w:hAnsi="Century"/>
          <w:sz w:val="28"/>
          <w:szCs w:val="28"/>
        </w:rPr>
        <w:lastRenderedPageBreak/>
        <w:t>Revenue (”OTR”) in response to requests from a taxpayer (or other party) for guidance about how District of Columbia tax laws apply to a specific fact pattern.  The questions presented are;</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r>
      <w:r w:rsidRPr="00256085">
        <w:rPr>
          <w:rFonts w:ascii="Century" w:hAnsi="Century"/>
          <w:sz w:val="28"/>
          <w:szCs w:val="28"/>
        </w:rPr>
        <w:t xml:space="preserve">1.  Did the trial court err in denying </w:t>
      </w:r>
      <w:r w:rsidRPr="00256085">
        <w:rPr>
          <w:rFonts w:ascii="Century" w:hAnsi="Century"/>
          <w:sz w:val="28"/>
          <w:szCs w:val="28"/>
        </w:rPr>
        <w:t xml:space="preserve">access to private letter rulings, even with names and personal identifiers redacted,  on the basis of D.C. Code § 47-4406, entitled </w:t>
      </w:r>
      <w:r w:rsidRPr="00256085">
        <w:rPr>
          <w:rFonts w:ascii="Century" w:hAnsi="Century"/>
          <w:i/>
          <w:iCs/>
          <w:sz w:val="28"/>
          <w:szCs w:val="28"/>
        </w:rPr>
        <w:t>Secrecy of Returns</w:t>
      </w:r>
      <w:r w:rsidRPr="00256085">
        <w:rPr>
          <w:rFonts w:ascii="Century" w:hAnsi="Century"/>
          <w:sz w:val="28"/>
          <w:szCs w:val="28"/>
        </w:rPr>
        <w:t>?</w:t>
      </w:r>
    </w:p>
    <w:p w:rsidR="00000000" w:rsidRDefault="00AE1CCA">
      <w:pPr>
        <w:tabs>
          <w:tab w:val="left" w:pos="-179"/>
        </w:tabs>
        <w:spacing w:line="480" w:lineRule="auto"/>
        <w:rPr>
          <w:rFonts w:ascii="Century" w:hAnsi="Century"/>
          <w:sz w:val="28"/>
          <w:szCs w:val="28"/>
        </w:rPr>
      </w:pPr>
      <w:r w:rsidRPr="00256085">
        <w:rPr>
          <w:rFonts w:ascii="Century" w:hAnsi="Century"/>
          <w:sz w:val="28"/>
          <w:szCs w:val="28"/>
        </w:rPr>
        <w:tab/>
        <w:t xml:space="preserve">2.  Did the trial court err in denying to conduct an </w:t>
      </w:r>
      <w:r w:rsidRPr="00256085">
        <w:rPr>
          <w:rFonts w:ascii="Century" w:hAnsi="Century"/>
          <w:i/>
          <w:iCs/>
          <w:sz w:val="28"/>
          <w:szCs w:val="28"/>
        </w:rPr>
        <w:t xml:space="preserve">in camera </w:t>
      </w:r>
      <w:r w:rsidRPr="00256085">
        <w:rPr>
          <w:rFonts w:ascii="Century" w:hAnsi="Century"/>
          <w:sz w:val="28"/>
          <w:szCs w:val="28"/>
        </w:rPr>
        <w:t>review of these rulings to determine if any portions could be disclosed because they were “reasonably segregable” from any exempt portions?</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11"/>
          <w:pgSz w:w="12240" w:h="15840"/>
          <w:pgMar w:top="1350" w:right="1440" w:bottom="1350" w:left="1440" w:header="1440" w:footer="1440" w:gutter="0"/>
          <w:pgNumType w:start="1"/>
          <w:cols w:space="720"/>
          <w:noEndnote/>
        </w:sectPr>
      </w:pPr>
    </w:p>
    <w:p w:rsidR="00000000" w:rsidRPr="00256085" w:rsidRDefault="00AE1CCA">
      <w:pPr>
        <w:tabs>
          <w:tab w:val="left" w:pos="-179"/>
        </w:tabs>
        <w:spacing w:line="480" w:lineRule="auto"/>
        <w:jc w:val="center"/>
        <w:rPr>
          <w:rFonts w:ascii="Century" w:hAnsi="Century"/>
          <w:sz w:val="28"/>
          <w:szCs w:val="28"/>
        </w:rPr>
      </w:pPr>
      <w:r w:rsidRPr="00256085">
        <w:rPr>
          <w:rFonts w:ascii="Century" w:hAnsi="Century"/>
          <w:b/>
          <w:bCs/>
          <w:sz w:val="28"/>
          <w:szCs w:val="28"/>
          <w:u w:val="single"/>
        </w:rPr>
        <w:t xml:space="preserve">STATEMENT </w:t>
      </w:r>
      <w:r w:rsidRPr="00256085">
        <w:rPr>
          <w:rFonts w:ascii="Century" w:hAnsi="Century"/>
          <w:b/>
          <w:bCs/>
          <w:sz w:val="28"/>
          <w:szCs w:val="28"/>
          <w:u w:val="single"/>
        </w:rPr>
        <w:t xml:space="preserve">OF </w:t>
      </w:r>
      <w:r w:rsidRPr="00256085">
        <w:rPr>
          <w:rFonts w:ascii="Century" w:hAnsi="Century"/>
          <w:b/>
          <w:bCs/>
          <w:sz w:val="28"/>
          <w:szCs w:val="28"/>
          <w:u w:val="single"/>
        </w:rPr>
        <w:t xml:space="preserve">THE </w:t>
      </w:r>
      <w:r w:rsidRPr="00256085">
        <w:rPr>
          <w:rFonts w:ascii="Century" w:hAnsi="Century"/>
          <w:b/>
          <w:bCs/>
          <w:sz w:val="28"/>
          <w:szCs w:val="28"/>
          <w:u w:val="single"/>
        </w:rPr>
        <w:t>CASE</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 xml:space="preserve">Plaintiffs-appellants are Tax Analysts, a non-profit publisher </w:t>
      </w:r>
      <w:r w:rsidRPr="00256085">
        <w:rPr>
          <w:rFonts w:ascii="Century" w:hAnsi="Century"/>
          <w:sz w:val="28"/>
          <w:szCs w:val="28"/>
        </w:rPr>
        <w:t>of periodicals on taxation issues, and Aaron Davis, one of its reporters at the time of the request (collectively “Tax Analysts”).  The Office of Tax and Revenue is an agency of defendant-appellee District of Columbia, and this brief will refer to the defe</w:t>
      </w:r>
      <w:r w:rsidRPr="00256085">
        <w:rPr>
          <w:rFonts w:ascii="Century" w:hAnsi="Century"/>
          <w:sz w:val="28"/>
          <w:szCs w:val="28"/>
        </w:rPr>
        <w:t xml:space="preserve">ndant-appellee as “OTR” unless the context dictates otherwise.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In an opinion and judgment dated 13 January 2021 the Superior Court (</w:t>
      </w:r>
      <w:proofErr w:type="spellStart"/>
      <w:r w:rsidRPr="00256085">
        <w:rPr>
          <w:rFonts w:ascii="Century" w:hAnsi="Century"/>
          <w:sz w:val="28"/>
          <w:szCs w:val="28"/>
        </w:rPr>
        <w:t>Rigsby</w:t>
      </w:r>
      <w:proofErr w:type="spellEnd"/>
      <w:r w:rsidRPr="00256085">
        <w:rPr>
          <w:rFonts w:ascii="Century" w:hAnsi="Century"/>
          <w:sz w:val="28"/>
          <w:szCs w:val="28"/>
        </w:rPr>
        <w:t xml:space="preserve">, J.) granted OTR’s contested motion for summary </w:t>
      </w:r>
      <w:r w:rsidRPr="00256085">
        <w:rPr>
          <w:rFonts w:ascii="Century" w:hAnsi="Century"/>
          <w:sz w:val="28"/>
          <w:szCs w:val="28"/>
        </w:rPr>
        <w:lastRenderedPageBreak/>
        <w:t xml:space="preserve">judgment and denied Tax Analysts’ cross-motion seeking an </w:t>
      </w:r>
      <w:r w:rsidRPr="00256085">
        <w:rPr>
          <w:rFonts w:ascii="Century" w:hAnsi="Century"/>
          <w:i/>
          <w:iCs/>
          <w:sz w:val="28"/>
          <w:szCs w:val="28"/>
        </w:rPr>
        <w:t>in camer</w:t>
      </w:r>
      <w:r w:rsidRPr="00256085">
        <w:rPr>
          <w:rFonts w:ascii="Century" w:hAnsi="Century"/>
          <w:i/>
          <w:iCs/>
          <w:sz w:val="28"/>
          <w:szCs w:val="28"/>
        </w:rPr>
        <w:t>a</w:t>
      </w:r>
      <w:r w:rsidRPr="00256085">
        <w:rPr>
          <w:rFonts w:ascii="Century" w:hAnsi="Century"/>
          <w:sz w:val="28"/>
          <w:szCs w:val="28"/>
        </w:rPr>
        <w:t xml:space="preserve"> review of the letter rulings.  This appeal followed.</w:t>
      </w:r>
    </w:p>
    <w:p w:rsidR="00000000" w:rsidRPr="00256085" w:rsidRDefault="00AE1CCA">
      <w:pPr>
        <w:tabs>
          <w:tab w:val="left" w:pos="-179"/>
        </w:tabs>
        <w:spacing w:line="480" w:lineRule="auto"/>
        <w:jc w:val="center"/>
        <w:rPr>
          <w:rFonts w:ascii="Century" w:hAnsi="Century"/>
          <w:sz w:val="28"/>
          <w:szCs w:val="28"/>
        </w:rPr>
      </w:pPr>
      <w:r w:rsidRPr="00256085">
        <w:rPr>
          <w:rFonts w:ascii="Century" w:hAnsi="Century"/>
          <w:b/>
          <w:bCs/>
          <w:sz w:val="28"/>
          <w:szCs w:val="28"/>
          <w:u w:val="single"/>
        </w:rPr>
        <w:t>STATEMENT OF FACTS</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r>
      <w:r w:rsidRPr="00256085">
        <w:rPr>
          <w:rFonts w:ascii="Century" w:hAnsi="Century"/>
          <w:sz w:val="28"/>
          <w:szCs w:val="28"/>
          <w:u w:val="single"/>
        </w:rPr>
        <w:t xml:space="preserve">Tax Analysts’ FOIA request and OTR’s response. </w:t>
      </w:r>
      <w:r w:rsidRPr="00256085">
        <w:rPr>
          <w:rFonts w:ascii="Century" w:hAnsi="Century"/>
          <w:sz w:val="28"/>
          <w:szCs w:val="28"/>
        </w:rPr>
        <w:t xml:space="preserve">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On 8 October 2019 plaintiffs Tax Analysts and Aaron Davis filed an FOIA request with the Office of the Chief Financial Officer, OTR</w:t>
      </w:r>
      <w:r w:rsidRPr="00256085">
        <w:rPr>
          <w:rFonts w:ascii="Century" w:hAnsi="Century"/>
          <w:sz w:val="28"/>
          <w:szCs w:val="28"/>
        </w:rPr>
        <w:t xml:space="preserve">’s parent </w:t>
      </w:r>
      <w:proofErr w:type="gramStart"/>
      <w:r w:rsidRPr="00256085">
        <w:rPr>
          <w:rFonts w:ascii="Century" w:hAnsi="Century"/>
          <w:sz w:val="28"/>
          <w:szCs w:val="28"/>
        </w:rPr>
        <w:t>agency.</w:t>
      </w:r>
      <w:r w:rsidRPr="00256085">
        <w:rPr>
          <w:rFonts w:ascii="Century" w:hAnsi="Century" w:cs="Times New Roman"/>
          <w:sz w:val="28"/>
          <w:szCs w:val="28"/>
          <w:vertAlign w:val="superscript"/>
        </w:rPr>
        <w:footnoteReference w:customMarkFollows="1" w:id="1"/>
        <w:t>1</w:t>
      </w:r>
      <w:r w:rsidRPr="00256085">
        <w:rPr>
          <w:rFonts w:ascii="Century" w:hAnsi="Century"/>
          <w:sz w:val="28"/>
          <w:szCs w:val="28"/>
        </w:rPr>
        <w:t xml:space="preserve">  Complaint</w:t>
      </w:r>
      <w:proofErr w:type="gramEnd"/>
      <w:r w:rsidRPr="00256085">
        <w:rPr>
          <w:rFonts w:ascii="Century" w:hAnsi="Century"/>
          <w:sz w:val="28"/>
          <w:szCs w:val="28"/>
        </w:rPr>
        <w:t xml:space="preserve"> ¶ 3-4.  Their FOIA request sought access to several types of r</w:t>
      </w:r>
      <w:r w:rsidRPr="00256085">
        <w:rPr>
          <w:rFonts w:ascii="Century" w:hAnsi="Century"/>
          <w:sz w:val="28"/>
          <w:szCs w:val="28"/>
        </w:rPr>
        <w:t>ecords, including the only category at issue in this case:  “All private letter rulings (PLRs) . . . created by the District of Columbia's Office of Tax and Revenue between January 1, 2016 and October 8, 2019.”  Complaint ¶ 7; Declaration of Aaron Davis (“</w:t>
      </w:r>
      <w:r w:rsidRPr="00256085">
        <w:rPr>
          <w:rFonts w:ascii="Century" w:hAnsi="Century"/>
          <w:sz w:val="28"/>
          <w:szCs w:val="28"/>
        </w:rPr>
        <w:t xml:space="preserve">Davis Decl.”) ¶ 3; Plaintiffs’ Exhibit (“Pl. Ex.”) 1.  </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12"/>
          <w:type w:val="continuous"/>
          <w:pgSz w:w="12240" w:h="15840"/>
          <w:pgMar w:top="1350" w:right="1440" w:bottom="900" w:left="1440" w:header="1440" w:footer="1440" w:gutter="0"/>
          <w:cols w:space="720"/>
          <w:noEndnote/>
        </w:sectPr>
      </w:pP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This request was denied on the b</w:t>
      </w:r>
      <w:r w:rsidRPr="00256085">
        <w:rPr>
          <w:rFonts w:ascii="Century" w:hAnsi="Century"/>
          <w:sz w:val="28"/>
          <w:szCs w:val="28"/>
        </w:rPr>
        <w:t xml:space="preserve">asis of two FOIA exemptions: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 Exemption 1, D.C. Code § 2-534(a</w:t>
      </w:r>
      <w:proofErr w:type="gramStart"/>
      <w:r w:rsidRPr="00256085">
        <w:rPr>
          <w:rFonts w:ascii="Century" w:hAnsi="Century"/>
          <w:sz w:val="28"/>
          <w:szCs w:val="28"/>
        </w:rPr>
        <w:t>)(</w:t>
      </w:r>
      <w:proofErr w:type="gramEnd"/>
      <w:r w:rsidRPr="00256085">
        <w:rPr>
          <w:rFonts w:ascii="Century" w:hAnsi="Century"/>
          <w:sz w:val="28"/>
          <w:szCs w:val="28"/>
        </w:rPr>
        <w:t xml:space="preserve">1), which allows agencies with withhold records submitted by a third party if disclosure would cause substantial harm to that party’s competitive position; and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lastRenderedPageBreak/>
        <w:tab/>
        <w:t xml:space="preserve">• Exemption 6, D.C. Code § </w:t>
      </w:r>
      <w:r w:rsidRPr="00256085">
        <w:rPr>
          <w:rFonts w:ascii="Century" w:hAnsi="Century"/>
          <w:sz w:val="28"/>
          <w:szCs w:val="28"/>
        </w:rPr>
        <w:t>2-534(a</w:t>
      </w:r>
      <w:proofErr w:type="gramStart"/>
      <w:r w:rsidRPr="00256085">
        <w:rPr>
          <w:rFonts w:ascii="Century" w:hAnsi="Century"/>
          <w:sz w:val="28"/>
          <w:szCs w:val="28"/>
        </w:rPr>
        <w:t>)(</w:t>
      </w:r>
      <w:proofErr w:type="gramEnd"/>
      <w:r w:rsidRPr="00256085">
        <w:rPr>
          <w:rFonts w:ascii="Century" w:hAnsi="Century"/>
          <w:sz w:val="28"/>
          <w:szCs w:val="28"/>
        </w:rPr>
        <w:t xml:space="preserve">6), subsection (A) of which allows agencies to withhold information that is “specifically exempted from disclosure by statute (other than this section).”  The trial </w:t>
      </w:r>
      <w:proofErr w:type="gramStart"/>
      <w:r w:rsidRPr="00256085">
        <w:rPr>
          <w:rFonts w:ascii="Century" w:hAnsi="Century"/>
          <w:sz w:val="28"/>
          <w:szCs w:val="28"/>
        </w:rPr>
        <w:t>court  relied</w:t>
      </w:r>
      <w:proofErr w:type="gramEnd"/>
      <w:r w:rsidRPr="00256085">
        <w:rPr>
          <w:rFonts w:ascii="Century" w:hAnsi="Century"/>
          <w:sz w:val="28"/>
          <w:szCs w:val="28"/>
        </w:rPr>
        <w:t xml:space="preserve"> solely upon this exemption in entering judgment in OTR’s favor.</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Tax</w:t>
      </w:r>
      <w:r w:rsidRPr="00256085">
        <w:rPr>
          <w:rFonts w:ascii="Century" w:hAnsi="Century"/>
          <w:sz w:val="28"/>
          <w:szCs w:val="28"/>
        </w:rPr>
        <w:t xml:space="preserve"> Analysts appealed to the Mayor.  In response, OTR identified “24 private letter rulings that are responsive to Tax Analysts’ request.”  However, OTR denied access on the basis of the two exemptions cited previously, as well as a third exemption:</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•Exempti</w:t>
      </w:r>
      <w:r w:rsidRPr="00256085">
        <w:rPr>
          <w:rFonts w:ascii="Century" w:hAnsi="Century"/>
          <w:sz w:val="28"/>
          <w:szCs w:val="28"/>
        </w:rPr>
        <w:t xml:space="preserve">on 2, which allows agencies to withhold information that would lead to a “clearly unwarranted invasion of personal privacy.”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 xml:space="preserve">The Mayor’s office, after examining one of the 24 rulings </w:t>
      </w:r>
      <w:r w:rsidRPr="00256085">
        <w:rPr>
          <w:rFonts w:ascii="Century" w:hAnsi="Century"/>
          <w:i/>
          <w:iCs/>
          <w:sz w:val="28"/>
          <w:szCs w:val="28"/>
        </w:rPr>
        <w:t>in camera</w:t>
      </w:r>
      <w:r w:rsidRPr="00256085">
        <w:rPr>
          <w:rFonts w:ascii="Century" w:hAnsi="Century"/>
          <w:sz w:val="28"/>
          <w:szCs w:val="28"/>
        </w:rPr>
        <w:t>, upheld OTR’s denial.  A request for reconsideration went un</w:t>
      </w:r>
      <w:r w:rsidRPr="00256085">
        <w:rPr>
          <w:rFonts w:ascii="Century" w:hAnsi="Century"/>
          <w:sz w:val="28"/>
          <w:szCs w:val="28"/>
        </w:rPr>
        <w:t xml:space="preserve">answered.  Complaint ¶¶ 8-13, 15; Davis Aff. ¶ 5; &amp; Pl. </w:t>
      </w:r>
      <w:proofErr w:type="spellStart"/>
      <w:r w:rsidRPr="00256085">
        <w:rPr>
          <w:rFonts w:ascii="Century" w:hAnsi="Century"/>
          <w:sz w:val="28"/>
          <w:szCs w:val="28"/>
        </w:rPr>
        <w:t>Exs</w:t>
      </w:r>
      <w:proofErr w:type="spellEnd"/>
      <w:r w:rsidRPr="00256085">
        <w:rPr>
          <w:rFonts w:ascii="Century" w:hAnsi="Century"/>
          <w:sz w:val="28"/>
          <w:szCs w:val="28"/>
        </w:rPr>
        <w:t xml:space="preserve">. 4-5.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Independently of whether any of these exemptions apply here, another element of the FOIA is pertinent here, namely, the requirement that if a record contains exempt and non-exempt portions</w:t>
      </w:r>
      <w:r w:rsidRPr="00256085">
        <w:rPr>
          <w:rFonts w:ascii="Century" w:hAnsi="Century"/>
          <w:sz w:val="28"/>
          <w:szCs w:val="28"/>
        </w:rPr>
        <w:t xml:space="preserve">, an agency must make available the “reasonably segregable,” non-exempt portions. D.C. Code § 2-534(b).  Here OTR argued, and the Mayor agreed, that </w:t>
      </w:r>
      <w:r w:rsidRPr="00256085">
        <w:rPr>
          <w:rFonts w:ascii="Century" w:hAnsi="Century"/>
          <w:sz w:val="28"/>
          <w:szCs w:val="28"/>
        </w:rPr>
        <w:lastRenderedPageBreak/>
        <w:t>any non-exempt portions of the requested letter rulings were “inextricably intertwined” with exemption port</w:t>
      </w:r>
      <w:r w:rsidRPr="00256085">
        <w:rPr>
          <w:rFonts w:ascii="Century" w:hAnsi="Century"/>
          <w:sz w:val="28"/>
          <w:szCs w:val="28"/>
        </w:rPr>
        <w:t xml:space="preserve">ions, thus rendering redaction “useless” and </w:t>
      </w:r>
      <w:proofErr w:type="gramStart"/>
      <w:r w:rsidRPr="00256085">
        <w:rPr>
          <w:rFonts w:ascii="Century" w:hAnsi="Century"/>
          <w:sz w:val="28"/>
          <w:szCs w:val="28"/>
        </w:rPr>
        <w:t>as  providing</w:t>
      </w:r>
      <w:proofErr w:type="gramEnd"/>
      <w:r w:rsidRPr="00256085">
        <w:rPr>
          <w:rFonts w:ascii="Century" w:hAnsi="Century"/>
          <w:sz w:val="28"/>
          <w:szCs w:val="28"/>
        </w:rPr>
        <w:t xml:space="preserve"> “little or no informational value.”  Complaint ¶ 14, Pl. Ex. ¶ 4 at 9.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Before discussing proceedings in Superior Court and the legal issues, we it may be useful to describe briefly the nature o</w:t>
      </w:r>
      <w:r w:rsidRPr="00256085">
        <w:rPr>
          <w:rFonts w:ascii="Century" w:hAnsi="Century"/>
          <w:sz w:val="28"/>
          <w:szCs w:val="28"/>
        </w:rPr>
        <w:t xml:space="preserve">f the records at issue here.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r>
      <w:r w:rsidRPr="00256085">
        <w:rPr>
          <w:rFonts w:ascii="Century" w:hAnsi="Century"/>
          <w:sz w:val="28"/>
          <w:szCs w:val="28"/>
          <w:u w:val="single"/>
        </w:rPr>
        <w:t>Private letter rulings</w:t>
      </w:r>
      <w:r w:rsidRPr="00256085">
        <w:rPr>
          <w:rFonts w:ascii="Century" w:hAnsi="Century"/>
          <w:sz w:val="28"/>
          <w:szCs w:val="28"/>
        </w:rPr>
        <w:t xml:space="preserve">.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OTR’s website describes private letter rulings as–</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13"/>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sz w:val="28"/>
          <w:szCs w:val="28"/>
        </w:rPr>
      </w:pPr>
      <w:r w:rsidRPr="00256085">
        <w:rPr>
          <w:rFonts w:ascii="Century" w:hAnsi="Century"/>
          <w:sz w:val="28"/>
          <w:szCs w:val="28"/>
        </w:rPr>
        <w:t xml:space="preserve"> . . . </w:t>
      </w:r>
      <w:proofErr w:type="gramStart"/>
      <w:r w:rsidRPr="00256085">
        <w:rPr>
          <w:rFonts w:ascii="Century" w:hAnsi="Century"/>
          <w:sz w:val="28"/>
          <w:szCs w:val="28"/>
        </w:rPr>
        <w:t>the</w:t>
      </w:r>
      <w:proofErr w:type="gramEnd"/>
      <w:r w:rsidRPr="00256085">
        <w:rPr>
          <w:rFonts w:ascii="Century" w:hAnsi="Century"/>
          <w:sz w:val="28"/>
          <w:szCs w:val="28"/>
        </w:rPr>
        <w:t xml:space="preserve"> official tax positions of the Office of Tax and Revenue (OTR). The rulings are OTR's response to taxpayer requests for guidance on specific tax matters.  A ruling may be relied upon by a taxpayer in filing a return, as the </w:t>
      </w:r>
      <w:r w:rsidRPr="00256085">
        <w:rPr>
          <w:rFonts w:ascii="Century" w:hAnsi="Century"/>
          <w:sz w:val="28"/>
          <w:szCs w:val="28"/>
        </w:rPr>
        <w:t>ruling binds OTR with respect to the specific tax matter.</w:t>
      </w:r>
    </w:p>
    <w:p w:rsidR="00000000" w:rsidRPr="00256085" w:rsidRDefault="00AE1CCA">
      <w:pPr>
        <w:tabs>
          <w:tab w:val="left" w:pos="-899"/>
        </w:tabs>
        <w:rPr>
          <w:rFonts w:ascii="Century" w:hAnsi="Century"/>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14"/>
          <w:type w:val="continuous"/>
          <w:pgSz w:w="12240" w:h="15840"/>
          <w:pgMar w:top="135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 xml:space="preserve">Pl. Ex. 7. </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Letter ruling</w:t>
      </w:r>
      <w:r w:rsidRPr="00256085">
        <w:rPr>
          <w:rFonts w:ascii="Century" w:hAnsi="Century"/>
          <w:sz w:val="28"/>
          <w:szCs w:val="28"/>
        </w:rPr>
        <w:t>s are an important element of federal and state tax laws, given the complexity of tax law and the fact that the application of tax laws to a specific individual’s situation is not always clear.  Thus, the Internal Revenue Service and the revenue department</w:t>
      </w:r>
      <w:r w:rsidRPr="00256085">
        <w:rPr>
          <w:rFonts w:ascii="Century" w:hAnsi="Century"/>
          <w:sz w:val="28"/>
          <w:szCs w:val="28"/>
        </w:rPr>
        <w:t xml:space="preserve">s in the District of Columbia and over 40 states issue letter rulings as a means </w:t>
      </w:r>
      <w:r w:rsidRPr="00256085">
        <w:rPr>
          <w:rFonts w:ascii="Century" w:hAnsi="Century"/>
          <w:sz w:val="28"/>
          <w:szCs w:val="28"/>
        </w:rPr>
        <w:lastRenderedPageBreak/>
        <w:t>of providing guidance to taxpayers about how to structure a transaction, whether a deduction or credit is available in a specific situation, or whether a specific tax law appl</w:t>
      </w:r>
      <w:r w:rsidRPr="00256085">
        <w:rPr>
          <w:rFonts w:ascii="Century" w:hAnsi="Century"/>
          <w:sz w:val="28"/>
          <w:szCs w:val="28"/>
        </w:rPr>
        <w:t>ies to a particular event or situation.  Private letter rulings are thus helpful not only to the individual who requests one, but to other taxpayers and practitioners, who can obtain an understanding how a revenue department construes specific provisions o</w:t>
      </w:r>
      <w:r w:rsidRPr="00256085">
        <w:rPr>
          <w:rFonts w:ascii="Century" w:hAnsi="Century"/>
          <w:sz w:val="28"/>
          <w:szCs w:val="28"/>
        </w:rPr>
        <w:t>f the tax code, regardless of whether the letter rulings are binding or not.</w:t>
      </w:r>
      <w:r w:rsidRPr="00256085">
        <w:rPr>
          <w:rFonts w:ascii="Century" w:hAnsi="Century" w:cs="Times New Roman"/>
          <w:sz w:val="28"/>
          <w:szCs w:val="28"/>
          <w:vertAlign w:val="superscript"/>
        </w:rPr>
        <w:footnoteReference w:customMarkFollows="1" w:id="2"/>
        <w:t>2</w:t>
      </w:r>
      <w:r w:rsidRPr="00256085">
        <w:rPr>
          <w:rFonts w:ascii="Century" w:hAnsi="Century"/>
          <w:sz w:val="28"/>
          <w:szCs w:val="28"/>
        </w:rPr>
        <w:t xml:space="preserve">  Davis Decl. ¶¶ 7-9.</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At th</w:t>
      </w:r>
      <w:r w:rsidRPr="00256085">
        <w:rPr>
          <w:rFonts w:ascii="Century" w:hAnsi="Century"/>
          <w:sz w:val="28"/>
          <w:szCs w:val="28"/>
        </w:rPr>
        <w:t>e federal level the IRS has been required since 1974 to disclose private letter rulings with names and identifiers redacted,</w:t>
      </w:r>
      <w:r w:rsidRPr="00256085">
        <w:rPr>
          <w:rFonts w:ascii="Century" w:hAnsi="Century"/>
          <w:i/>
          <w:iCs/>
          <w:sz w:val="28"/>
          <w:szCs w:val="28"/>
        </w:rPr>
        <w:t xml:space="preserve"> Tax Analysts and Advocates v. IRS</w:t>
      </w:r>
      <w:r w:rsidRPr="00256085">
        <w:rPr>
          <w:rFonts w:ascii="Century" w:hAnsi="Century"/>
          <w:sz w:val="28"/>
          <w:szCs w:val="28"/>
        </w:rPr>
        <w:t xml:space="preserve">, 505 F.2d 350 (D.C. Cir. 1974).   Private letter rulings and other “written determinations” that </w:t>
      </w:r>
      <w:r w:rsidRPr="00256085">
        <w:rPr>
          <w:rFonts w:ascii="Century" w:hAnsi="Century"/>
          <w:sz w:val="28"/>
          <w:szCs w:val="28"/>
        </w:rPr>
        <w:t xml:space="preserve">the IRS issues on various tax issues must be made public with redactions under 26 U.S.C. (“I.R.C.”) § 6110, and those documents are available online at the IRS’s “FOIA Library,”  </w:t>
      </w:r>
      <w:hyperlink r:id="rId15" w:history="1">
        <w:r w:rsidRPr="00256085">
          <w:rPr>
            <w:rStyle w:val="SYSHYPERTEXT"/>
            <w:rFonts w:ascii="Century" w:hAnsi="Century"/>
            <w:sz w:val="28"/>
            <w:szCs w:val="28"/>
          </w:rPr>
          <w:t>https://ww</w:t>
        </w:r>
        <w:r w:rsidRPr="00256085">
          <w:rPr>
            <w:rStyle w:val="SYSHYPERTEXT"/>
            <w:rFonts w:ascii="Century" w:hAnsi="Century"/>
            <w:sz w:val="28"/>
            <w:szCs w:val="28"/>
          </w:rPr>
          <w:t>w.irs.gov/privacy-disclosure/foia-library.</w:t>
        </w:r>
      </w:hyperlink>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lastRenderedPageBreak/>
        <w:tab/>
        <w:t xml:space="preserve">At the state level, 36 of the state revenue departments that </w:t>
      </w:r>
      <w:proofErr w:type="gramStart"/>
      <w:r w:rsidRPr="00256085">
        <w:rPr>
          <w:rFonts w:ascii="Century" w:hAnsi="Century"/>
          <w:sz w:val="28"/>
          <w:szCs w:val="28"/>
        </w:rPr>
        <w:t>issue  letter</w:t>
      </w:r>
      <w:proofErr w:type="gramEnd"/>
      <w:r w:rsidRPr="00256085">
        <w:rPr>
          <w:rFonts w:ascii="Century" w:hAnsi="Century"/>
          <w:sz w:val="28"/>
          <w:szCs w:val="28"/>
        </w:rPr>
        <w:t xml:space="preserve"> rulings publish those rulings with personal identifiers redacted.  The District of Columbia is one of only a small number of jurisdict</w:t>
      </w:r>
      <w:r w:rsidRPr="00256085">
        <w:rPr>
          <w:rFonts w:ascii="Century" w:hAnsi="Century"/>
          <w:sz w:val="28"/>
          <w:szCs w:val="28"/>
        </w:rPr>
        <w:t>ions that do not routinely make such rulings available.  Davis Decl. ¶ 13.</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r>
      <w:r w:rsidRPr="00256085">
        <w:rPr>
          <w:rFonts w:ascii="Century" w:hAnsi="Century"/>
          <w:sz w:val="28"/>
          <w:szCs w:val="28"/>
          <w:u w:val="single"/>
        </w:rPr>
        <w:t>Proceedings in Superior Court.</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Tax Analysts filed its complaint on 28 March 2020, and OTR moved to dismiss under Super. Ct. Civ. R. 12(b</w:t>
      </w:r>
      <w:proofErr w:type="gramStart"/>
      <w:r w:rsidRPr="00256085">
        <w:rPr>
          <w:rFonts w:ascii="Century" w:hAnsi="Century"/>
          <w:sz w:val="28"/>
          <w:szCs w:val="28"/>
        </w:rPr>
        <w:t>)(</w:t>
      </w:r>
      <w:proofErr w:type="gramEnd"/>
      <w:r w:rsidRPr="00256085">
        <w:rPr>
          <w:rFonts w:ascii="Century" w:hAnsi="Century"/>
          <w:sz w:val="28"/>
          <w:szCs w:val="28"/>
        </w:rPr>
        <w:t>6), relying solely on Exemption 6, the “o</w:t>
      </w:r>
      <w:r w:rsidRPr="00256085">
        <w:rPr>
          <w:rFonts w:ascii="Century" w:hAnsi="Century"/>
          <w:sz w:val="28"/>
          <w:szCs w:val="28"/>
        </w:rPr>
        <w:t xml:space="preserve">ther statutes” exemption.  Tax Analysts opposed the motion and submitted exhibits demonstrating that OTR has in the past published redacted versions of private letter rulings and similar guidance. (CITE).  Tax Analysts also requested an </w:t>
      </w:r>
      <w:r w:rsidRPr="00256085">
        <w:rPr>
          <w:rFonts w:ascii="Century" w:hAnsi="Century"/>
          <w:i/>
          <w:iCs/>
          <w:sz w:val="28"/>
          <w:szCs w:val="28"/>
        </w:rPr>
        <w:t>in camera</w:t>
      </w:r>
      <w:r w:rsidRPr="00256085">
        <w:rPr>
          <w:rFonts w:ascii="Century" w:hAnsi="Century"/>
          <w:sz w:val="28"/>
          <w:szCs w:val="28"/>
        </w:rPr>
        <w:t xml:space="preserve"> review of</w:t>
      </w:r>
      <w:r w:rsidRPr="00256085">
        <w:rPr>
          <w:rFonts w:ascii="Century" w:hAnsi="Century"/>
          <w:sz w:val="28"/>
          <w:szCs w:val="28"/>
        </w:rPr>
        <w:t xml:space="preserve"> the letter rulings in order to assess OTR’s claim that no “reasonably segregable” portions of the rulings could be made public.</w:t>
      </w: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 xml:space="preserve">The “other statute” upon which OTR relied is D.C. Code § 47-4406, entitled </w:t>
      </w:r>
      <w:r w:rsidRPr="00256085">
        <w:rPr>
          <w:rFonts w:ascii="Century" w:hAnsi="Century"/>
          <w:i/>
          <w:iCs/>
          <w:sz w:val="28"/>
          <w:szCs w:val="28"/>
        </w:rPr>
        <w:t>Secrecy of Returns</w:t>
      </w:r>
      <w:r w:rsidRPr="00256085">
        <w:rPr>
          <w:rFonts w:ascii="Century" w:hAnsi="Century"/>
          <w:sz w:val="28"/>
          <w:szCs w:val="28"/>
        </w:rPr>
        <w:t>, subsection (a) of which states:</w:t>
      </w:r>
      <w:r w:rsidRPr="00256085">
        <w:rPr>
          <w:rFonts w:ascii="Century" w:hAnsi="Century"/>
          <w:sz w:val="28"/>
          <w:szCs w:val="28"/>
        </w:rPr>
        <w:t xml:space="preserve"> </w:t>
      </w:r>
    </w:p>
    <w:p w:rsidR="00000000" w:rsidRPr="00256085" w:rsidRDefault="00AE1CCA" w:rsidP="00256085">
      <w:pPr>
        <w:tabs>
          <w:tab w:val="left" w:pos="-179"/>
        </w:tabs>
        <w:ind w:left="630" w:right="720"/>
        <w:rPr>
          <w:rFonts w:ascii="Century" w:hAnsi="Century"/>
          <w:sz w:val="28"/>
          <w:szCs w:val="28"/>
        </w:rPr>
      </w:pPr>
      <w:r w:rsidRPr="00256085">
        <w:rPr>
          <w:rFonts w:ascii="Century" w:hAnsi="Century"/>
          <w:sz w:val="28"/>
          <w:szCs w:val="28"/>
        </w:rPr>
        <w:t>(a) Except as provided in subsections (b), (c), (d)(2), (e), (e-1), and (e-2) of this section, and except as to an official of the District of Columbia, having a right thereto in his official capacity, an officer, employee, or contractor, or a former off</w:t>
      </w:r>
      <w:r w:rsidRPr="00256085">
        <w:rPr>
          <w:rFonts w:ascii="Century" w:hAnsi="Century"/>
          <w:sz w:val="28"/>
          <w:szCs w:val="28"/>
        </w:rPr>
        <w:t xml:space="preserve">icer, employee, or contractor, of the District of Columbia shall not divulge or make known in any manner the amount </w:t>
      </w:r>
      <w:r w:rsidRPr="00256085">
        <w:rPr>
          <w:rFonts w:ascii="Century" w:hAnsi="Century"/>
          <w:sz w:val="28"/>
          <w:szCs w:val="28"/>
        </w:rPr>
        <w:lastRenderedPageBreak/>
        <w:t>of reported value, or any information relating to value or the computation of value, disclosed in a return required to be filed under this t</w:t>
      </w:r>
      <w:r w:rsidRPr="00256085">
        <w:rPr>
          <w:rFonts w:ascii="Century" w:hAnsi="Century"/>
          <w:sz w:val="28"/>
          <w:szCs w:val="28"/>
        </w:rPr>
        <w:t>itle. The original (or a copy) of a tax return desired for use in litigation in court shall not be furnished where the District of Columbia or the United States is not interested in the result of the litigation, whether or not the request is contained in a</w:t>
      </w:r>
      <w:r w:rsidRPr="00256085">
        <w:rPr>
          <w:rFonts w:ascii="Century" w:hAnsi="Century"/>
          <w:sz w:val="28"/>
          <w:szCs w:val="28"/>
        </w:rPr>
        <w:t>n order of the court. Nothing contained in this section shall prevent the furnishing to the taxpayer of a copy of his or her return upon the payment of a fee as provided by the Mayor. This subsection shall also be applicable to federal, state, or local tax</w:t>
      </w:r>
      <w:r w:rsidRPr="00256085">
        <w:rPr>
          <w:rFonts w:ascii="Century" w:hAnsi="Century"/>
          <w:sz w:val="28"/>
          <w:szCs w:val="28"/>
        </w:rPr>
        <w:t xml:space="preserve"> returns (or copies of these returns) and to federal, state, or local tax information either submitted by the taxpayer or otherwise obtained.</w:t>
      </w:r>
    </w:p>
    <w:p w:rsidR="00000000" w:rsidRPr="00256085" w:rsidRDefault="00AE1CCA">
      <w:pPr>
        <w:tabs>
          <w:tab w:val="left" w:pos="-179"/>
        </w:tabs>
        <w:rPr>
          <w:rFonts w:ascii="Century" w:hAnsi="Century"/>
          <w:sz w:val="28"/>
          <w:szCs w:val="28"/>
        </w:rPr>
        <w:sectPr w:rsidR="00000000" w:rsidRPr="00256085">
          <w:footerReference w:type="default" r:id="rId16"/>
          <w:type w:val="continuous"/>
          <w:pgSz w:w="12240" w:h="15840"/>
          <w:pgMar w:top="1350" w:right="1440" w:bottom="900" w:left="1440" w:header="1440" w:footer="1440" w:gutter="0"/>
          <w:cols w:space="720"/>
          <w:noEndnote/>
        </w:sectPr>
      </w:pPr>
    </w:p>
    <w:p w:rsidR="00000000" w:rsidRPr="00256085" w:rsidRDefault="00AE1CCA">
      <w:pPr>
        <w:tabs>
          <w:tab w:val="left" w:pos="-179"/>
        </w:tabs>
        <w:rPr>
          <w:rFonts w:ascii="Century" w:hAnsi="Century"/>
          <w:sz w:val="28"/>
          <w:szCs w:val="28"/>
        </w:rPr>
      </w:pPr>
    </w:p>
    <w:p w:rsidR="00000000" w:rsidRPr="00256085" w:rsidRDefault="00AE1CCA">
      <w:pPr>
        <w:tabs>
          <w:tab w:val="left" w:pos="-179"/>
        </w:tabs>
        <w:rPr>
          <w:rFonts w:ascii="Century" w:hAnsi="Century"/>
          <w:sz w:val="28"/>
          <w:szCs w:val="28"/>
        </w:rPr>
        <w:sectPr w:rsidR="00000000" w:rsidRPr="00256085">
          <w:footerReference w:type="default" r:id="rId17"/>
          <w:type w:val="continuous"/>
          <w:pgSz w:w="12240" w:h="15840"/>
          <w:pgMar w:top="1350" w:right="2160" w:bottom="900" w:left="1440" w:header="1440" w:footer="1440" w:gutter="0"/>
          <w:cols w:space="720"/>
          <w:noEndnote/>
        </w:sectPr>
      </w:pP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ab/>
        <w:t>The trial court denied OTR’s motion to dismiss, citing as relevant the language in D.C</w:t>
      </w:r>
      <w:r w:rsidRPr="00256085">
        <w:rPr>
          <w:rFonts w:ascii="Century" w:hAnsi="Century"/>
          <w:sz w:val="28"/>
          <w:szCs w:val="28"/>
        </w:rPr>
        <w:t>. Code § 47-4406 that--</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18"/>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cs="TimesNewRoman"/>
          <w:sz w:val="28"/>
          <w:szCs w:val="28"/>
        </w:rPr>
      </w:pPr>
      <w:r w:rsidRPr="00256085">
        <w:rPr>
          <w:rFonts w:ascii="Century" w:hAnsi="Century"/>
          <w:sz w:val="28"/>
          <w:szCs w:val="28"/>
        </w:rPr>
        <w:t xml:space="preserve">. . . an officer, employee, or contractor, or former officer, </w:t>
      </w:r>
      <w:r w:rsidRPr="00256085">
        <w:rPr>
          <w:rFonts w:ascii="Century" w:hAnsi="Century"/>
          <w:sz w:val="28"/>
          <w:szCs w:val="28"/>
        </w:rPr>
        <w:t>employee, or contractor of the District of Columbia shall not divulge or make known in any manner the amount of reported value, or any information relating to value or the computation of value disclosed in a [tax] return required to be filed under this tit</w:t>
      </w:r>
      <w:r w:rsidRPr="00256085">
        <w:rPr>
          <w:rFonts w:ascii="Century" w:hAnsi="Century"/>
          <w:sz w:val="28"/>
          <w:szCs w:val="28"/>
        </w:rPr>
        <w:t xml:space="preserve">le. </w:t>
      </w:r>
    </w:p>
    <w:p w:rsidR="00000000" w:rsidRPr="00256085" w:rsidRDefault="00AE1CCA">
      <w:pPr>
        <w:tabs>
          <w:tab w:val="left" w:pos="-899"/>
        </w:tabs>
        <w:rPr>
          <w:rFonts w:ascii="Century" w:hAnsi="Century" w:cs="TimesNewRoman"/>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19"/>
          <w:type w:val="continuous"/>
          <w:pgSz w:w="12240" w:h="15840"/>
          <w:pgMar w:top="1350" w:right="2070" w:bottom="900" w:left="2160" w:header="1440" w:footer="1440" w:gutter="0"/>
          <w:cols w:space="720"/>
          <w:noEndnote/>
        </w:sectPr>
      </w:pP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(J.A. ___)  The court added that, as indicated by its text and title, this stat</w:t>
      </w:r>
      <w:r w:rsidRPr="00256085">
        <w:rPr>
          <w:rFonts w:ascii="Century" w:hAnsi="Century"/>
          <w:sz w:val="28"/>
          <w:szCs w:val="28"/>
        </w:rPr>
        <w:t xml:space="preserve">ute governs the “secrecy of returns” or “the amount of reported value, or any information relating to value or computation of value” disclosed in a tax return. In this case, however, “private letter rulings predate tax returns, [and] therefore tax returns </w:t>
      </w:r>
      <w:r w:rsidRPr="00256085">
        <w:rPr>
          <w:rFonts w:ascii="Century" w:hAnsi="Century"/>
          <w:sz w:val="28"/>
          <w:szCs w:val="28"/>
        </w:rPr>
        <w:t>are not at issue (J.A. ___).  The court continued:</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20"/>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sz w:val="28"/>
          <w:szCs w:val="28"/>
        </w:rPr>
      </w:pPr>
      <w:r w:rsidRPr="00256085">
        <w:rPr>
          <w:rFonts w:ascii="Century" w:hAnsi="Century"/>
          <w:sz w:val="28"/>
          <w:szCs w:val="28"/>
        </w:rPr>
        <w:lastRenderedPageBreak/>
        <w:t>A taxpayer in a PLR is generally seeki</w:t>
      </w:r>
      <w:r w:rsidRPr="00256085">
        <w:rPr>
          <w:rFonts w:ascii="Century" w:hAnsi="Century"/>
          <w:sz w:val="28"/>
          <w:szCs w:val="28"/>
        </w:rPr>
        <w:t>ng advice on how a certain fact pattern should be treated under D.C. tax law when filing a hypothetical future return.  As Plaintiffs point out in their opposition, the taxpayer may upon receipt of a PLR decide not to pursue a specific transaction, and thu</w:t>
      </w:r>
      <w:r w:rsidRPr="00256085">
        <w:rPr>
          <w:rFonts w:ascii="Century" w:hAnsi="Century"/>
          <w:sz w:val="28"/>
          <w:szCs w:val="28"/>
        </w:rPr>
        <w:t xml:space="preserve">s there would be no information disclosed” about such a transaction in “a return to be filed.” </w:t>
      </w:r>
    </w:p>
    <w:p w:rsidR="00000000" w:rsidRPr="00256085" w:rsidRDefault="00AE1CCA">
      <w:pPr>
        <w:tabs>
          <w:tab w:val="left" w:pos="-899"/>
        </w:tabs>
        <w:rPr>
          <w:rFonts w:ascii="Century" w:hAnsi="Century"/>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21"/>
          <w:type w:val="continuous"/>
          <w:pgSz w:w="12240" w:h="15840"/>
          <w:pgMar w:top="135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(J.A. ____.  Therefore, the court concluded, “section 47-4406 does not prevent the disclosure of the information contained in PLRs” (J.A. ___).</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sz w:val="28"/>
          <w:szCs w:val="28"/>
        </w:rPr>
        <w:tab/>
        <w:t xml:space="preserve">The court declined to consider OTR’s request to hold that any non-exempt information in the letter </w:t>
      </w:r>
      <w:r w:rsidRPr="00256085">
        <w:rPr>
          <w:rFonts w:ascii="Century" w:hAnsi="Century"/>
          <w:sz w:val="28"/>
          <w:szCs w:val="28"/>
        </w:rPr>
        <w:t xml:space="preserve">rulings were not “reasonably segregable” from the exempt portions.  The court found no reason to  decide that issue, inasmuch as Section 47-4406 was </w:t>
      </w:r>
      <w:r w:rsidRPr="00256085">
        <w:rPr>
          <w:rFonts w:ascii="Century" w:hAnsi="Century" w:cs="Century Becker Schoolbook"/>
          <w:sz w:val="28"/>
          <w:szCs w:val="28"/>
        </w:rPr>
        <w:t>“the only basis advanced by Defendants to withhold information” and that any determination about the segreg</w:t>
      </w:r>
      <w:r w:rsidRPr="00256085">
        <w:rPr>
          <w:rFonts w:ascii="Century" w:hAnsi="Century" w:cs="Century Becker Schoolbook"/>
          <w:sz w:val="28"/>
          <w:szCs w:val="28"/>
        </w:rPr>
        <w:t>ability of specific documents would present “a question of fact that is not currently before the Court” (J.A. __).  Tax Analysts’</w:t>
      </w:r>
      <w:r w:rsidRPr="00256085">
        <w:rPr>
          <w:rFonts w:ascii="Century" w:hAnsi="Century" w:cs="Century Becker Schoolbook"/>
          <w:i/>
          <w:iCs/>
          <w:sz w:val="28"/>
          <w:szCs w:val="28"/>
        </w:rPr>
        <w:t xml:space="preserve"> in camera </w:t>
      </w:r>
      <w:r w:rsidRPr="00256085">
        <w:rPr>
          <w:rFonts w:ascii="Century" w:hAnsi="Century" w:cs="Century Becker Schoolbook"/>
          <w:sz w:val="28"/>
          <w:szCs w:val="28"/>
        </w:rPr>
        <w:t>motion was thus denied as moot (J.A. __).</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Notwithstanding this decision rejecting OTR’s reliance on Exemption 6, O</w:t>
      </w:r>
      <w:r w:rsidRPr="00256085">
        <w:rPr>
          <w:rFonts w:ascii="Century" w:hAnsi="Century" w:cs="Century Becker Schoolbook"/>
          <w:sz w:val="28"/>
          <w:szCs w:val="28"/>
        </w:rPr>
        <w:t xml:space="preserve">TR filed a </w:t>
      </w:r>
      <w:r w:rsidRPr="00256085">
        <w:rPr>
          <w:rFonts w:ascii="Century" w:hAnsi="Century" w:cs="Century Becker Schoolbook"/>
          <w:i/>
          <w:iCs/>
          <w:sz w:val="28"/>
          <w:szCs w:val="28"/>
        </w:rPr>
        <w:t xml:space="preserve">Vaughn </w:t>
      </w:r>
      <w:r w:rsidRPr="00256085">
        <w:rPr>
          <w:rFonts w:ascii="Century" w:hAnsi="Century" w:cs="Century Becker Schoolbook"/>
          <w:sz w:val="28"/>
          <w:szCs w:val="28"/>
        </w:rPr>
        <w:t>index</w:t>
      </w:r>
      <w:r w:rsidRPr="00256085">
        <w:rPr>
          <w:rFonts w:ascii="Century" w:hAnsi="Century" w:cs="Times New Roman"/>
          <w:sz w:val="28"/>
          <w:szCs w:val="28"/>
          <w:vertAlign w:val="superscript"/>
        </w:rPr>
        <w:footnoteReference w:customMarkFollows="1" w:id="3"/>
        <w:t>3</w:t>
      </w:r>
      <w:r w:rsidRPr="00256085">
        <w:rPr>
          <w:rFonts w:ascii="Century" w:hAnsi="Century" w:cs="Century Becker Schoolbook"/>
          <w:sz w:val="28"/>
          <w:szCs w:val="28"/>
        </w:rPr>
        <w:t xml:space="preserve"> that identified the 24 letter </w:t>
      </w:r>
      <w:r w:rsidRPr="00256085">
        <w:rPr>
          <w:rFonts w:ascii="Century" w:hAnsi="Century" w:cs="Century Becker Schoolbook"/>
          <w:sz w:val="28"/>
          <w:szCs w:val="28"/>
        </w:rPr>
        <w:lastRenderedPageBreak/>
        <w:t xml:space="preserve">rulings and re-iterated its position that all 24 rulings could be withheld in their entirety under the “other statutes” </w:t>
      </w:r>
      <w:proofErr w:type="gramStart"/>
      <w:r w:rsidRPr="00256085">
        <w:rPr>
          <w:rFonts w:ascii="Century" w:hAnsi="Century" w:cs="Century Becker Schoolbook"/>
          <w:sz w:val="28"/>
          <w:szCs w:val="28"/>
        </w:rPr>
        <w:t>exemption  plus</w:t>
      </w:r>
      <w:proofErr w:type="gramEnd"/>
      <w:r w:rsidRPr="00256085">
        <w:rPr>
          <w:rFonts w:ascii="Century" w:hAnsi="Century" w:cs="Century Becker Schoolbook"/>
          <w:sz w:val="28"/>
          <w:szCs w:val="28"/>
        </w:rPr>
        <w:t xml:space="preserve"> the other two exemptions cited in its letter to the M</w:t>
      </w:r>
      <w:r w:rsidRPr="00256085">
        <w:rPr>
          <w:rFonts w:ascii="Century" w:hAnsi="Century" w:cs="Century Becker Schoolbook"/>
          <w:sz w:val="28"/>
          <w:szCs w:val="28"/>
        </w:rPr>
        <w:t xml:space="preserve">ayor  (J.A. __).  OTR did not accompany this </w:t>
      </w:r>
      <w:r w:rsidRPr="00256085">
        <w:rPr>
          <w:rFonts w:ascii="Century" w:hAnsi="Century" w:cs="Century Becker Schoolbook"/>
          <w:i/>
          <w:iCs/>
          <w:sz w:val="28"/>
          <w:szCs w:val="28"/>
        </w:rPr>
        <w:t>Vaughn</w:t>
      </w:r>
      <w:r w:rsidRPr="00256085">
        <w:rPr>
          <w:rFonts w:ascii="Century" w:hAnsi="Century" w:cs="Century Becker Schoolbook"/>
          <w:sz w:val="28"/>
          <w:szCs w:val="28"/>
        </w:rPr>
        <w:t xml:space="preserve"> index with an affidavit from an OTR official with relevant knowledge of the documents.</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OTR then moved for summary judgment on the basis of all three exemptions (J.A. __-__).  Tax Analysts opposed and ren</w:t>
      </w:r>
      <w:r w:rsidRPr="00256085">
        <w:rPr>
          <w:rFonts w:ascii="Century" w:hAnsi="Century" w:cs="Century Becker Schoolbook"/>
          <w:sz w:val="28"/>
          <w:szCs w:val="28"/>
        </w:rPr>
        <w:t xml:space="preserve">ewed its motion for </w:t>
      </w:r>
      <w:r w:rsidRPr="00256085">
        <w:rPr>
          <w:rFonts w:ascii="Century" w:hAnsi="Century" w:cs="Century Becker Schoolbook"/>
          <w:i/>
          <w:iCs/>
          <w:sz w:val="28"/>
          <w:szCs w:val="28"/>
        </w:rPr>
        <w:t>in camera</w:t>
      </w:r>
      <w:r w:rsidRPr="00256085">
        <w:rPr>
          <w:rFonts w:ascii="Century" w:hAnsi="Century" w:cs="Century Becker Schoolbook"/>
          <w:sz w:val="28"/>
          <w:szCs w:val="28"/>
        </w:rPr>
        <w:t xml:space="preserve"> review of the 24 letters in order to address the segregability issue (J.A. __-__).</w:t>
      </w:r>
      <w:r w:rsidRPr="00256085">
        <w:rPr>
          <w:rFonts w:ascii="Century" w:hAnsi="Century" w:cs="Times New Roman"/>
          <w:sz w:val="28"/>
          <w:szCs w:val="28"/>
          <w:vertAlign w:val="superscript"/>
        </w:rPr>
        <w:footnoteReference w:customMarkFollows="1" w:id="4"/>
        <w:t>4</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The trial court granted OTR’s motion for summary judgment and e</w:t>
      </w:r>
      <w:r w:rsidRPr="00256085">
        <w:rPr>
          <w:rFonts w:ascii="Century" w:hAnsi="Century" w:cs="Century Becker Schoolbook"/>
          <w:sz w:val="28"/>
          <w:szCs w:val="28"/>
        </w:rPr>
        <w:t>ntered judgment in OTR’s favor (J.A. __-__).  The court explained that its prior ruling had been based on OTR’s reliance on language in section 47-4406 that “an officer, employee, or contractor, or former officer, employee, or contractor of the District of</w:t>
      </w:r>
      <w:r w:rsidRPr="00256085">
        <w:rPr>
          <w:rFonts w:ascii="Century" w:hAnsi="Century" w:cs="Century Becker Schoolbook"/>
          <w:sz w:val="28"/>
          <w:szCs w:val="28"/>
        </w:rPr>
        <w:t xml:space="preserve"> Columbia shall not divulge or </w:t>
      </w:r>
      <w:r w:rsidRPr="00256085">
        <w:rPr>
          <w:rFonts w:ascii="Century" w:hAnsi="Century" w:cs="Century Becker Schoolbook"/>
          <w:sz w:val="28"/>
          <w:szCs w:val="28"/>
        </w:rPr>
        <w:lastRenderedPageBreak/>
        <w:t>make known in any manner the amount of reported value, or any information relating to value or the computation of value disclosed in a [tax] return required to be filed under this title.”  For this ruling, the court relief on</w:t>
      </w:r>
      <w:r w:rsidRPr="00256085">
        <w:rPr>
          <w:rFonts w:ascii="Century" w:hAnsi="Century" w:cs="Century Becker Schoolbook"/>
          <w:sz w:val="28"/>
          <w:szCs w:val="28"/>
        </w:rPr>
        <w:t xml:space="preserve"> OTR’s citation of additional language in section 47-4406 “shall also be applicable to federal, state, or local tax returns (or copies of these returns) and to </w:t>
      </w:r>
      <w:r w:rsidRPr="00256085">
        <w:rPr>
          <w:rFonts w:ascii="Century" w:hAnsi="Century" w:cs="Century Becker Schoolbook"/>
          <w:i/>
          <w:iCs/>
          <w:sz w:val="28"/>
          <w:szCs w:val="28"/>
        </w:rPr>
        <w:t>federal, state, or local tax information either submitted by the taxpayer or otherwise obtained</w:t>
      </w:r>
      <w:r w:rsidRPr="00256085">
        <w:rPr>
          <w:rFonts w:ascii="Century" w:hAnsi="Century" w:cs="Century Becker Schoolbook"/>
          <w:sz w:val="28"/>
          <w:szCs w:val="28"/>
        </w:rPr>
        <w:t>’</w:t>
      </w:r>
      <w:r w:rsidRPr="00256085">
        <w:rPr>
          <w:rFonts w:ascii="Century" w:hAnsi="Century" w:cs="Century Becker Schoolbook"/>
          <w:sz w:val="28"/>
          <w:szCs w:val="28"/>
        </w:rPr>
        <w:t>”  (J.A. __-__) (emphasis in decision).</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The court read this language as leaving OTR “no discretion” to disclose private letter rulings or any portion of them (J.A. __-__).  The court also rejected Tax Analysts’ argument that the federal FOIA has been read</w:t>
      </w:r>
      <w:r w:rsidRPr="00256085">
        <w:rPr>
          <w:rFonts w:ascii="Century" w:hAnsi="Century" w:cs="Century Becker Schoolbook"/>
          <w:sz w:val="28"/>
          <w:szCs w:val="28"/>
        </w:rPr>
        <w:t xml:space="preserve"> to require disclosure of private letter rulings with redactions of names and personal identifiers, notwithstanding similar  “tax information” language in the Internal Revenue Code, 26 U.S.C. § 6103 (“I.R.C. § 1603”), entitled </w:t>
      </w:r>
      <w:r w:rsidRPr="00256085">
        <w:rPr>
          <w:rFonts w:ascii="Century" w:hAnsi="Century" w:cs="Century Becker Schoolbook"/>
          <w:i/>
          <w:iCs/>
          <w:sz w:val="28"/>
          <w:szCs w:val="28"/>
        </w:rPr>
        <w:t>Confidentiality and disclosur</w:t>
      </w:r>
      <w:r w:rsidRPr="00256085">
        <w:rPr>
          <w:rFonts w:ascii="Century" w:hAnsi="Century" w:cs="Century Becker Schoolbook"/>
          <w:i/>
          <w:iCs/>
          <w:sz w:val="28"/>
          <w:szCs w:val="28"/>
        </w:rPr>
        <w:t>e of returns and return information</w:t>
      </w:r>
      <w:r w:rsidRPr="00256085">
        <w:rPr>
          <w:rFonts w:ascii="Century" w:hAnsi="Century" w:cs="Century Becker Schoolbook"/>
          <w:sz w:val="28"/>
          <w:szCs w:val="28"/>
        </w:rPr>
        <w:t xml:space="preserve">  (J.A. __-__).  </w:t>
      </w:r>
    </w:p>
    <w:p w:rsidR="00000000" w:rsidRPr="00256085" w:rsidRDefault="00AE1CCA" w:rsidP="003E1990">
      <w:pPr>
        <w:tabs>
          <w:tab w:val="left" w:pos="0"/>
        </w:tabs>
        <w:spacing w:line="480" w:lineRule="auto"/>
        <w:ind w:hanging="1440"/>
        <w:rPr>
          <w:rFonts w:ascii="Century" w:hAnsi="Century" w:cs="Century Becker Schoolbook"/>
          <w:sz w:val="28"/>
          <w:szCs w:val="28"/>
        </w:rPr>
      </w:pPr>
      <w:r w:rsidRPr="00256085">
        <w:rPr>
          <w:rFonts w:ascii="Century" w:hAnsi="Century" w:cs="Century Becker Schoolbook"/>
          <w:sz w:val="28"/>
          <w:szCs w:val="28"/>
        </w:rPr>
        <w:tab/>
      </w:r>
      <w:r w:rsidR="003E1990">
        <w:rPr>
          <w:rFonts w:ascii="Century" w:hAnsi="Century" w:cs="Century Becker Schoolbook"/>
          <w:sz w:val="28"/>
          <w:szCs w:val="28"/>
        </w:rPr>
        <w:tab/>
      </w:r>
      <w:r w:rsidRPr="00256085">
        <w:rPr>
          <w:rFonts w:ascii="Century" w:hAnsi="Century" w:cs="Century Becker Schoolbook"/>
          <w:sz w:val="28"/>
          <w:szCs w:val="28"/>
        </w:rPr>
        <w:t xml:space="preserve">As for segregability, the trial court did not mention its prior statement that segregability is “a question of fact.”  Instead, the court </w:t>
      </w:r>
      <w:r w:rsidRPr="00256085">
        <w:rPr>
          <w:rFonts w:ascii="Century" w:hAnsi="Century" w:cs="Century Becker Schoolbook"/>
          <w:sz w:val="28"/>
          <w:szCs w:val="28"/>
        </w:rPr>
        <w:lastRenderedPageBreak/>
        <w:t xml:space="preserve">granted summary judgment based on the court’s view, unsupported </w:t>
      </w:r>
      <w:r w:rsidRPr="00256085">
        <w:rPr>
          <w:rFonts w:ascii="Century" w:hAnsi="Century" w:cs="Century Becker Schoolbook"/>
          <w:sz w:val="28"/>
          <w:szCs w:val="28"/>
        </w:rPr>
        <w:t>by an affidavit from OTR or similar evidence, that “PLRs are in their entirety an evaluation of the tax consequences of a taxpayer’s financial circumstances,” such that redaction of exempt information would “produce an edited document of little or no infor</w:t>
      </w:r>
      <w:r w:rsidRPr="00256085">
        <w:rPr>
          <w:rFonts w:ascii="Century" w:hAnsi="Century" w:cs="Century Becker Schoolbook"/>
          <w:sz w:val="28"/>
          <w:szCs w:val="28"/>
        </w:rPr>
        <w:t>mational value” (J.A. __-__ ) (internal citation omitted).  This appeal followed.</w:t>
      </w:r>
      <w:r w:rsidRPr="00256085">
        <w:rPr>
          <w:rFonts w:ascii="Century" w:hAnsi="Century" w:cs="Century Becker Schoolbook"/>
          <w:sz w:val="28"/>
          <w:szCs w:val="28"/>
        </w:rPr>
        <w:tab/>
      </w:r>
    </w:p>
    <w:p w:rsidR="00000000" w:rsidRPr="00256085" w:rsidRDefault="00AE1CCA">
      <w:pPr>
        <w:tabs>
          <w:tab w:val="left" w:pos="-179"/>
        </w:tabs>
        <w:spacing w:line="480" w:lineRule="auto"/>
        <w:jc w:val="center"/>
        <w:rPr>
          <w:rFonts w:ascii="Century" w:hAnsi="Century" w:cs="Century Becker Schoolbook"/>
          <w:sz w:val="28"/>
          <w:szCs w:val="28"/>
        </w:rPr>
      </w:pPr>
      <w:r w:rsidRPr="00256085">
        <w:rPr>
          <w:rFonts w:ascii="Century" w:hAnsi="Century" w:cs="Century Becker Schoolbook"/>
          <w:sz w:val="28"/>
          <w:szCs w:val="28"/>
          <w:u w:val="single"/>
        </w:rPr>
        <w:t>SUMMARY OF ARGUMENT</w:t>
      </w:r>
    </w:p>
    <w:p w:rsidR="00000000" w:rsidRPr="00256085" w:rsidRDefault="00AE1CCA">
      <w:pPr>
        <w:tabs>
          <w:tab w:val="left" w:pos="-179"/>
        </w:tabs>
        <w:spacing w:line="480" w:lineRule="auto"/>
        <w:ind w:left="720" w:hanging="720"/>
        <w:rPr>
          <w:rFonts w:ascii="Century" w:hAnsi="Century" w:cs="Century Becker Schoolbook"/>
          <w:sz w:val="28"/>
          <w:szCs w:val="28"/>
        </w:rPr>
      </w:pPr>
    </w:p>
    <w:p w:rsidR="00000000" w:rsidRPr="00256085" w:rsidRDefault="00AE1CCA">
      <w:pPr>
        <w:tabs>
          <w:tab w:val="left" w:pos="-179"/>
        </w:tabs>
        <w:spacing w:line="480" w:lineRule="auto"/>
        <w:rPr>
          <w:rFonts w:ascii="Century" w:hAnsi="Century" w:cs="Century Becker Schoolbook"/>
          <w:sz w:val="28"/>
          <w:szCs w:val="28"/>
        </w:rPr>
      </w:pPr>
    </w:p>
    <w:p w:rsidR="00000000" w:rsidRPr="00256085" w:rsidRDefault="00AE1CCA">
      <w:pPr>
        <w:tabs>
          <w:tab w:val="left" w:pos="-179"/>
        </w:tabs>
        <w:spacing w:line="480" w:lineRule="auto"/>
        <w:jc w:val="center"/>
        <w:rPr>
          <w:rFonts w:ascii="Century" w:hAnsi="Century"/>
          <w:sz w:val="28"/>
          <w:szCs w:val="28"/>
        </w:rPr>
      </w:pPr>
      <w:r w:rsidRPr="00256085">
        <w:rPr>
          <w:rFonts w:ascii="Century" w:hAnsi="Century"/>
          <w:sz w:val="28"/>
          <w:szCs w:val="28"/>
          <w:u w:val="single"/>
        </w:rPr>
        <w:t>ARGUMENT</w:t>
      </w:r>
    </w:p>
    <w:p w:rsidR="00000000" w:rsidRPr="00256085" w:rsidRDefault="00AE1CCA">
      <w:pPr>
        <w:tabs>
          <w:tab w:val="left" w:pos="-179"/>
        </w:tabs>
        <w:ind w:left="720" w:hanging="720"/>
        <w:rPr>
          <w:rFonts w:ascii="Century" w:hAnsi="Century"/>
          <w:b/>
          <w:bCs/>
          <w:sz w:val="28"/>
          <w:szCs w:val="28"/>
        </w:rPr>
      </w:pPr>
      <w:r w:rsidRPr="00256085">
        <w:rPr>
          <w:rFonts w:ascii="Century" w:hAnsi="Century"/>
          <w:sz w:val="28"/>
          <w:szCs w:val="28"/>
        </w:rPr>
        <w:t xml:space="preserve">     </w:t>
      </w:r>
      <w:r w:rsidRPr="00256085">
        <w:rPr>
          <w:rFonts w:ascii="Century" w:hAnsi="Century"/>
          <w:b/>
          <w:bCs/>
          <w:sz w:val="28"/>
          <w:szCs w:val="28"/>
        </w:rPr>
        <w:t>THE</w:t>
      </w:r>
      <w:r w:rsidRPr="00256085">
        <w:rPr>
          <w:rFonts w:ascii="Century" w:hAnsi="Century"/>
          <w:b/>
          <w:bCs/>
          <w:sz w:val="28"/>
          <w:szCs w:val="28"/>
        </w:rPr>
        <w:t xml:space="preserve"> TRIAL </w:t>
      </w:r>
      <w:r w:rsidR="003E1990">
        <w:rPr>
          <w:rFonts w:ascii="Century" w:hAnsi="Century"/>
          <w:b/>
          <w:bCs/>
          <w:sz w:val="28"/>
          <w:szCs w:val="28"/>
        </w:rPr>
        <w:t>C</w:t>
      </w:r>
      <w:r w:rsidRPr="00256085">
        <w:rPr>
          <w:rFonts w:ascii="Century" w:hAnsi="Century"/>
          <w:b/>
          <w:bCs/>
          <w:sz w:val="28"/>
          <w:szCs w:val="28"/>
        </w:rPr>
        <w:t xml:space="preserve">OURT </w:t>
      </w:r>
      <w:r w:rsidRPr="00256085">
        <w:rPr>
          <w:rFonts w:ascii="Century" w:hAnsi="Century"/>
          <w:b/>
          <w:bCs/>
          <w:sz w:val="28"/>
          <w:szCs w:val="28"/>
        </w:rPr>
        <w:t xml:space="preserve">ERRED </w:t>
      </w:r>
      <w:r w:rsidRPr="00256085">
        <w:rPr>
          <w:rFonts w:ascii="Century" w:hAnsi="Century"/>
          <w:b/>
          <w:bCs/>
          <w:sz w:val="28"/>
          <w:szCs w:val="28"/>
        </w:rPr>
        <w:t xml:space="preserve">IN </w:t>
      </w:r>
      <w:r w:rsidRPr="00256085">
        <w:rPr>
          <w:rFonts w:ascii="Century" w:hAnsi="Century"/>
          <w:b/>
          <w:bCs/>
          <w:sz w:val="28"/>
          <w:szCs w:val="28"/>
        </w:rPr>
        <w:t xml:space="preserve">DENYING </w:t>
      </w:r>
      <w:r w:rsidRPr="00256085">
        <w:rPr>
          <w:rFonts w:ascii="Century" w:hAnsi="Century"/>
          <w:b/>
          <w:bCs/>
          <w:sz w:val="28"/>
          <w:szCs w:val="28"/>
        </w:rPr>
        <w:t xml:space="preserve">ACCESS </w:t>
      </w:r>
    </w:p>
    <w:p w:rsidR="00000000" w:rsidRPr="00256085" w:rsidRDefault="00AE1CCA">
      <w:pPr>
        <w:tabs>
          <w:tab w:val="left" w:pos="-179"/>
        </w:tabs>
        <w:rPr>
          <w:rFonts w:ascii="Century" w:hAnsi="Century"/>
          <w:sz w:val="28"/>
          <w:szCs w:val="28"/>
        </w:rPr>
      </w:pPr>
      <w:r w:rsidRPr="00256085">
        <w:rPr>
          <w:rFonts w:ascii="Century" w:hAnsi="Century"/>
          <w:b/>
          <w:bCs/>
          <w:sz w:val="28"/>
          <w:szCs w:val="28"/>
        </w:rPr>
        <w:tab/>
        <w:t xml:space="preserve">TO </w:t>
      </w:r>
      <w:r w:rsidRPr="00256085">
        <w:rPr>
          <w:rFonts w:ascii="Century" w:hAnsi="Century"/>
          <w:b/>
          <w:bCs/>
          <w:sz w:val="28"/>
          <w:szCs w:val="28"/>
        </w:rPr>
        <w:t>REDACTED</w:t>
      </w:r>
      <w:r w:rsidRPr="00256085">
        <w:rPr>
          <w:rFonts w:ascii="Century" w:hAnsi="Century"/>
          <w:b/>
          <w:bCs/>
          <w:sz w:val="28"/>
          <w:szCs w:val="28"/>
        </w:rPr>
        <w:t xml:space="preserve"> PRIVATE</w:t>
      </w:r>
      <w:r w:rsidRPr="00256085">
        <w:rPr>
          <w:rFonts w:ascii="Century" w:hAnsi="Century"/>
          <w:b/>
          <w:bCs/>
          <w:sz w:val="28"/>
          <w:szCs w:val="28"/>
        </w:rPr>
        <w:t xml:space="preserve"> LETTER </w:t>
      </w:r>
      <w:r w:rsidRPr="00256085">
        <w:rPr>
          <w:rFonts w:ascii="Century" w:hAnsi="Century"/>
          <w:b/>
          <w:bCs/>
          <w:sz w:val="28"/>
          <w:szCs w:val="28"/>
        </w:rPr>
        <w:t>RULINGS.</w:t>
      </w:r>
    </w:p>
    <w:p w:rsidR="00000000" w:rsidRPr="00256085" w:rsidRDefault="00AE1CCA">
      <w:pPr>
        <w:tabs>
          <w:tab w:val="left" w:pos="-179"/>
        </w:tabs>
        <w:rPr>
          <w:rFonts w:ascii="Century" w:hAnsi="Century"/>
          <w:sz w:val="28"/>
          <w:szCs w:val="28"/>
        </w:r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sz w:val="28"/>
          <w:szCs w:val="28"/>
        </w:rPr>
        <w:tab/>
      </w:r>
      <w:r w:rsidRPr="00256085">
        <w:rPr>
          <w:rFonts w:ascii="Century" w:hAnsi="Century"/>
          <w:sz w:val="28"/>
          <w:szCs w:val="28"/>
          <w:u w:val="single"/>
        </w:rPr>
        <w:t>Standard of Review.</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 xml:space="preserve">The standard of review on all issues in this FOIA case is </w:t>
      </w:r>
      <w:r w:rsidRPr="00256085">
        <w:rPr>
          <w:rFonts w:ascii="Century" w:hAnsi="Century" w:cs="Century Becker Schoolbook"/>
          <w:i/>
          <w:iCs/>
          <w:sz w:val="28"/>
          <w:szCs w:val="28"/>
        </w:rPr>
        <w:t>de novo</w:t>
      </w:r>
      <w:r w:rsidRPr="00256085">
        <w:rPr>
          <w:rFonts w:ascii="Century" w:hAnsi="Century" w:cs="Century Becker Schoolbook"/>
          <w:sz w:val="28"/>
          <w:szCs w:val="28"/>
        </w:rPr>
        <w:t>.  D.C. Code § 2-537(b).</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u w:val="single"/>
        </w:rPr>
        <w:t>A.  Introduction and Overview.</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“The public policy of the District of Columbia is that all persons are entitled to full and complete information regarding the affair</w:t>
      </w:r>
      <w:r w:rsidRPr="00256085">
        <w:rPr>
          <w:rFonts w:ascii="Century" w:hAnsi="Century" w:cs="Century Becker Schoolbook"/>
          <w:sz w:val="28"/>
          <w:szCs w:val="28"/>
        </w:rPr>
        <w:t xml:space="preserve">s of government and the official acts of those who represent them as public </w:t>
      </w:r>
      <w:r w:rsidRPr="00256085">
        <w:rPr>
          <w:rFonts w:ascii="Century" w:hAnsi="Century" w:cs="Century Becker Schoolbook"/>
          <w:sz w:val="28"/>
          <w:szCs w:val="28"/>
        </w:rPr>
        <w:lastRenderedPageBreak/>
        <w:t>officials and employees,” and to that end the FOIA’s provisions “shall be construed with the view toward expansion of public access and the minimization of costs and time delays to</w:t>
      </w:r>
      <w:r w:rsidRPr="00256085">
        <w:rPr>
          <w:rFonts w:ascii="Century" w:hAnsi="Century" w:cs="Century Becker Schoolbook"/>
          <w:sz w:val="28"/>
          <w:szCs w:val="28"/>
        </w:rPr>
        <w:t xml:space="preserve"> persons requesting information.”  D.C. Code § 2-531. </w:t>
      </w:r>
    </w:p>
    <w:p w:rsidR="00000000" w:rsidRPr="00256085" w:rsidRDefault="00AE1CCA">
      <w:pPr>
        <w:tabs>
          <w:tab w:val="left" w:pos="-179"/>
        </w:tabs>
        <w:spacing w:line="480" w:lineRule="auto"/>
        <w:ind w:left="720" w:hanging="1440"/>
        <w:rPr>
          <w:rFonts w:ascii="Century" w:hAnsi="Century" w:cs="Century Becker Schoolbook"/>
          <w:sz w:val="28"/>
          <w:szCs w:val="28"/>
        </w:rPr>
      </w:pPr>
      <w:r w:rsidRPr="00256085">
        <w:rPr>
          <w:rFonts w:ascii="Century" w:hAnsi="Century" w:cs="Century Becker Schoolbook"/>
          <w:sz w:val="28"/>
          <w:szCs w:val="28"/>
        </w:rPr>
        <w:tab/>
        <w:t xml:space="preserve">The FOIA is structured to require disclosure in two situations: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•First, and “[w]</w:t>
      </w:r>
      <w:proofErr w:type="spellStart"/>
      <w:r w:rsidRPr="00256085">
        <w:rPr>
          <w:rFonts w:ascii="Century" w:hAnsi="Century" w:cs="Century Becker Schoolbook"/>
          <w:sz w:val="28"/>
          <w:szCs w:val="28"/>
        </w:rPr>
        <w:t>ithout</w:t>
      </w:r>
      <w:proofErr w:type="spellEnd"/>
      <w:r w:rsidRPr="00256085">
        <w:rPr>
          <w:rFonts w:ascii="Century" w:hAnsi="Century" w:cs="Century Becker Schoolbook"/>
          <w:sz w:val="28"/>
          <w:szCs w:val="28"/>
        </w:rPr>
        <w:t xml:space="preserve"> limiting the meaning of other sections” of the FOIA, there are 12 “categories of information [that] are specifi</w:t>
      </w:r>
      <w:r w:rsidRPr="00256085">
        <w:rPr>
          <w:rFonts w:ascii="Century" w:hAnsi="Century" w:cs="Century Becker Schoolbook"/>
          <w:sz w:val="28"/>
          <w:szCs w:val="28"/>
        </w:rPr>
        <w:t>cally made public information,” even without a request for access, D.C. Code § 2-536(a), and one such category consists of “statements of policy and interpretations of policy, acts, and rules which have been adopted by a public body,” D.C. Code §§ 2-536(a</w:t>
      </w:r>
      <w:proofErr w:type="gramStart"/>
      <w:r w:rsidRPr="00256085">
        <w:rPr>
          <w:rFonts w:ascii="Century" w:hAnsi="Century" w:cs="Century Becker Schoolbook"/>
          <w:sz w:val="28"/>
          <w:szCs w:val="28"/>
        </w:rPr>
        <w:t>)</w:t>
      </w:r>
      <w:r w:rsidRPr="00256085">
        <w:rPr>
          <w:rFonts w:ascii="Century" w:hAnsi="Century" w:cs="Century Becker Schoolbook"/>
          <w:sz w:val="28"/>
          <w:szCs w:val="28"/>
        </w:rPr>
        <w:t>(</w:t>
      </w:r>
      <w:proofErr w:type="gramEnd"/>
      <w:r w:rsidRPr="00256085">
        <w:rPr>
          <w:rFonts w:ascii="Century" w:hAnsi="Century" w:cs="Century Becker Schoolbook"/>
          <w:sz w:val="28"/>
          <w:szCs w:val="28"/>
        </w:rPr>
        <w:t>4);</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 Second, agencies must respond to public requests for access to specific records, </w:t>
      </w:r>
      <w:r w:rsidRPr="00256085">
        <w:rPr>
          <w:rFonts w:ascii="Century" w:hAnsi="Century" w:cs="Century Becker Schoolbook"/>
          <w:sz w:val="28"/>
          <w:szCs w:val="28"/>
        </w:rPr>
        <w:t>and those records must be provided except to the extent that a specific exemption allows withholding, D.C. Code §§ 2-532(a), 2-534.</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In order to promote the FOIA’s ov</w:t>
      </w:r>
      <w:r w:rsidRPr="00256085">
        <w:rPr>
          <w:rFonts w:ascii="Century" w:hAnsi="Century" w:cs="Century Becker Schoolbook"/>
          <w:sz w:val="28"/>
          <w:szCs w:val="28"/>
        </w:rPr>
        <w:t xml:space="preserve">erarching disclosure policy, courts are required to construe exemptions “narrowly” and “with ambiguities resolved in favor of disclosure.” </w:t>
      </w:r>
      <w:r w:rsidRPr="00256085">
        <w:rPr>
          <w:rFonts w:ascii="Century" w:hAnsi="Century" w:cs="Century Becker Schoolbook"/>
          <w:i/>
          <w:iCs/>
          <w:sz w:val="28"/>
          <w:szCs w:val="28"/>
        </w:rPr>
        <w:t xml:space="preserve">Fraternal Order of Police, </w:t>
      </w:r>
      <w:r w:rsidRPr="00256085">
        <w:rPr>
          <w:rFonts w:ascii="Century" w:hAnsi="Century" w:cs="Century Becker Schoolbook"/>
          <w:i/>
          <w:iCs/>
          <w:sz w:val="28"/>
          <w:szCs w:val="28"/>
        </w:rPr>
        <w:lastRenderedPageBreak/>
        <w:t>Metro. Labor Comm. v. District of Columbia</w:t>
      </w:r>
      <w:r w:rsidRPr="00256085">
        <w:rPr>
          <w:rFonts w:ascii="Century" w:hAnsi="Century" w:cs="Century Becker Schoolbook"/>
          <w:sz w:val="28"/>
          <w:szCs w:val="28"/>
        </w:rPr>
        <w:t>, 82 A.3d 803, 813 (D.C.2014) (internal citation</w:t>
      </w:r>
      <w:r w:rsidRPr="00256085">
        <w:rPr>
          <w:rFonts w:ascii="Century" w:hAnsi="Century" w:cs="Century Becker Schoolbook"/>
          <w:sz w:val="28"/>
          <w:szCs w:val="28"/>
        </w:rPr>
        <w:t xml:space="preserve"> and quotation omitted).  Accord </w:t>
      </w:r>
      <w:r w:rsidRPr="00256085">
        <w:rPr>
          <w:rFonts w:ascii="Century" w:hAnsi="Century" w:cs="Century Becker Schoolbook"/>
          <w:i/>
          <w:iCs/>
          <w:sz w:val="28"/>
          <w:szCs w:val="28"/>
        </w:rPr>
        <w:t xml:space="preserve">Washington Post Co. v. Minority Bus. Opportunity </w:t>
      </w:r>
      <w:proofErr w:type="spellStart"/>
      <w:r w:rsidRPr="00256085">
        <w:rPr>
          <w:rFonts w:ascii="Century" w:hAnsi="Century" w:cs="Century Becker Schoolbook"/>
          <w:i/>
          <w:iCs/>
          <w:sz w:val="28"/>
          <w:szCs w:val="28"/>
        </w:rPr>
        <w:t>Comm'n</w:t>
      </w:r>
      <w:proofErr w:type="spellEnd"/>
      <w:r w:rsidRPr="00256085">
        <w:rPr>
          <w:rFonts w:ascii="Century" w:hAnsi="Century" w:cs="Century Becker Schoolbook"/>
          <w:sz w:val="28"/>
          <w:szCs w:val="28"/>
        </w:rPr>
        <w:t>, 560 A.2d 517, ___ (D.C. 1989) (“Just as the provisions of the Act giving citizens the right of access are to be generously construed, so the nine statutory exemptions</w:t>
      </w:r>
      <w:r w:rsidRPr="00256085">
        <w:rPr>
          <w:rFonts w:ascii="Century" w:hAnsi="Century" w:cs="Century Becker Schoolbook"/>
          <w:sz w:val="28"/>
          <w:szCs w:val="28"/>
        </w:rPr>
        <w:t xml:space="preserve"> must be approached with a jaundiced eye”).</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OTR has described private letter rulings as OTR’s “official tax positions,” which are prepared in “response to taxpayer requests for guidance on specific tax matters.  A ruling may be relied upon by a taxpayer c</w:t>
      </w:r>
      <w:r w:rsidRPr="00256085">
        <w:rPr>
          <w:rFonts w:ascii="Century" w:hAnsi="Century" w:cs="Century Becker Schoolbook"/>
          <w:sz w:val="28"/>
          <w:szCs w:val="28"/>
        </w:rPr>
        <w:t>oncerning a specific tax matter, since the ruling binds OTR as to the specific tax matter” (J.A. __).  In other words, private letter rulings are the sort of “statements of policy and interpretations of policy, acts, and rules” that should be ordinarily be</w:t>
      </w:r>
      <w:r w:rsidRPr="00256085">
        <w:rPr>
          <w:rFonts w:ascii="Century" w:hAnsi="Century" w:cs="Century Becker Schoolbook"/>
          <w:sz w:val="28"/>
          <w:szCs w:val="28"/>
        </w:rPr>
        <w:t xml:space="preserve"> made public under D.C. Code § 2-536(a)(4), except to the extent an exemption may apply.  In the sections that follow, we explain why none of the exemptions cited by OTR warrant </w:t>
      </w:r>
      <w:r w:rsidRPr="00256085">
        <w:rPr>
          <w:rFonts w:ascii="Century" w:hAnsi="Century" w:cs="Century Becker Schoolbook"/>
          <w:sz w:val="28"/>
          <w:szCs w:val="28"/>
        </w:rPr>
        <w:t>withholding private letter rulings in their entirety and why the judgment sho</w:t>
      </w:r>
      <w:r w:rsidRPr="00256085">
        <w:rPr>
          <w:rFonts w:ascii="Century" w:hAnsi="Century" w:cs="Century Becker Schoolbook"/>
          <w:sz w:val="28"/>
          <w:szCs w:val="28"/>
        </w:rPr>
        <w:t>uld be reversed.</w:t>
      </w:r>
    </w:p>
    <w:p w:rsidR="00000000" w:rsidRPr="00256085" w:rsidRDefault="00AE1CCA">
      <w:pPr>
        <w:tabs>
          <w:tab w:val="left" w:pos="-179"/>
        </w:tabs>
        <w:ind w:left="720"/>
        <w:rPr>
          <w:rFonts w:ascii="Century" w:hAnsi="Century" w:cs="Century Becker Schoolbook"/>
          <w:sz w:val="28"/>
          <w:szCs w:val="28"/>
        </w:rPr>
      </w:pPr>
      <w:r w:rsidRPr="00256085">
        <w:rPr>
          <w:rFonts w:ascii="Century" w:hAnsi="Century" w:cs="Century Becker Schoolbook"/>
          <w:sz w:val="28"/>
          <w:szCs w:val="28"/>
        </w:rPr>
        <w:t>B.  The “Other Statutes” Exemption Does Not Permit</w:t>
      </w:r>
    </w:p>
    <w:p w:rsidR="00000000" w:rsidRPr="00256085" w:rsidRDefault="00AE1CCA">
      <w:pPr>
        <w:tabs>
          <w:tab w:val="left" w:pos="-179"/>
        </w:tabs>
        <w:rPr>
          <w:rFonts w:ascii="Century" w:hAnsi="Century" w:cs="Century Becker Schoolbook"/>
          <w:sz w:val="28"/>
          <w:szCs w:val="28"/>
        </w:rPr>
      </w:pPr>
      <w:r w:rsidRPr="00256085">
        <w:rPr>
          <w:rFonts w:ascii="Century" w:hAnsi="Century" w:cs="Century Becker Schoolbook"/>
          <w:sz w:val="28"/>
          <w:szCs w:val="28"/>
        </w:rPr>
        <w:tab/>
        <w:t xml:space="preserve">      </w:t>
      </w:r>
      <w:r w:rsidRPr="00256085">
        <w:rPr>
          <w:rFonts w:ascii="Century" w:hAnsi="Century" w:cs="Century Becker Schoolbook"/>
          <w:sz w:val="28"/>
          <w:szCs w:val="28"/>
          <w:u w:val="single"/>
        </w:rPr>
        <w:t xml:space="preserve">Withholding Private Letter </w:t>
      </w:r>
      <w:r w:rsidRPr="00256085">
        <w:rPr>
          <w:rFonts w:ascii="Century" w:hAnsi="Century" w:cs="Century Becker Schoolbook"/>
          <w:sz w:val="28"/>
          <w:szCs w:val="28"/>
          <w:u w:val="single"/>
        </w:rPr>
        <w:t>Rulings in Their Entirety.</w:t>
      </w:r>
    </w:p>
    <w:p w:rsidR="00000000" w:rsidRPr="00256085" w:rsidRDefault="00AE1CCA">
      <w:pPr>
        <w:tabs>
          <w:tab w:val="left" w:pos="-179"/>
        </w:tabs>
        <w:rPr>
          <w:rFonts w:ascii="Century" w:hAnsi="Century" w:cs="Century Becker Schoolbook"/>
          <w:sz w:val="28"/>
          <w:szCs w:val="28"/>
        </w:r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In entering summary judgment on OTR’s favor, the trial court relied on Exemption 6 of the FOIA, D.C. Code §</w:t>
      </w:r>
      <w:r w:rsidRPr="00256085">
        <w:rPr>
          <w:rFonts w:ascii="Century" w:hAnsi="Century" w:cs="Century Becker Schoolbook"/>
          <w:sz w:val="28"/>
          <w:szCs w:val="28"/>
        </w:rPr>
        <w:t xml:space="preserve"> 2-534(a</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6), which allows agencies to withhold–</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22"/>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Information specifically exempted from d</w:t>
      </w:r>
      <w:r w:rsidRPr="00256085">
        <w:rPr>
          <w:rFonts w:ascii="Century" w:hAnsi="Century" w:cs="Century Becker Schoolbook"/>
          <w:sz w:val="28"/>
          <w:szCs w:val="28"/>
        </w:rPr>
        <w:t xml:space="preserve">isclosure by statute (other than this section), provided that such statute: </w:t>
      </w: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 xml:space="preserve">    (A) Requires that the matters be withheld from the public in such a manner as to leave no discretion on the issue; or</w:t>
      </w: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 xml:space="preserve">    (B) Establishes particular criteria for withholding o</w:t>
      </w:r>
      <w:r w:rsidRPr="00256085">
        <w:rPr>
          <w:rFonts w:ascii="Century" w:hAnsi="Century" w:cs="Century Becker Schoolbook"/>
          <w:sz w:val="28"/>
          <w:szCs w:val="28"/>
        </w:rPr>
        <w:t>r refers to particular types of matters to be withheld.</w:t>
      </w:r>
    </w:p>
    <w:p w:rsidR="00000000" w:rsidRPr="00256085" w:rsidRDefault="00AE1CCA">
      <w:pPr>
        <w:tabs>
          <w:tab w:val="left" w:pos="-899"/>
        </w:tabs>
        <w:rPr>
          <w:rFonts w:ascii="Century" w:hAnsi="Century" w:cs="Century Becker Schoolbook"/>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23"/>
          <w:type w:val="continuous"/>
          <w:pgSz w:w="12240" w:h="15840"/>
          <w:pgMar w:top="135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In considering Exemption 6 c</w:t>
      </w:r>
      <w:r w:rsidRPr="00256085">
        <w:rPr>
          <w:rFonts w:ascii="Century" w:hAnsi="Century" w:cs="Century Becker Schoolbook"/>
          <w:sz w:val="28"/>
          <w:szCs w:val="28"/>
        </w:rPr>
        <w:t xml:space="preserve">laims, “we are required to interpret this exemption ‘narrowly,’ ‘with ambiguities resolved in favor of disclosure.’” </w:t>
      </w:r>
      <w:r w:rsidRPr="00256085">
        <w:rPr>
          <w:rFonts w:ascii="Century" w:hAnsi="Century" w:cs="Century Becker Schoolbook"/>
          <w:i/>
          <w:iCs/>
          <w:sz w:val="28"/>
          <w:szCs w:val="28"/>
        </w:rPr>
        <w:t xml:space="preserve"> Vining v. Council of the District of Columbia</w:t>
      </w:r>
      <w:r w:rsidRPr="00256085">
        <w:rPr>
          <w:rFonts w:ascii="Century" w:hAnsi="Century" w:cs="Century Becker Schoolbook"/>
          <w:sz w:val="28"/>
          <w:szCs w:val="28"/>
        </w:rPr>
        <w:t xml:space="preserve">, 140 A.3d 439, 445 (D.C. 2016), quoting </w:t>
      </w:r>
      <w:r w:rsidRPr="00256085">
        <w:rPr>
          <w:rFonts w:ascii="Century" w:hAnsi="Century" w:cs="Century Becker Schoolbook"/>
          <w:i/>
          <w:iCs/>
          <w:sz w:val="28"/>
          <w:szCs w:val="28"/>
        </w:rPr>
        <w:t>Fraternal Order of Police, Metro. Labor Comm. v. Dis</w:t>
      </w:r>
      <w:r w:rsidRPr="00256085">
        <w:rPr>
          <w:rFonts w:ascii="Century" w:hAnsi="Century" w:cs="Century Becker Schoolbook"/>
          <w:i/>
          <w:iCs/>
          <w:sz w:val="28"/>
          <w:szCs w:val="28"/>
        </w:rPr>
        <w:t>trict of Columbia</w:t>
      </w:r>
      <w:r w:rsidRPr="00256085">
        <w:rPr>
          <w:rFonts w:ascii="Century" w:hAnsi="Century" w:cs="Century Becker Schoolbook"/>
          <w:sz w:val="28"/>
          <w:szCs w:val="28"/>
        </w:rPr>
        <w:t xml:space="preserve">, 82 A.3d 803, 813 (D.C. 2014) (quoting in turn </w:t>
      </w:r>
      <w:r w:rsidRPr="00256085">
        <w:rPr>
          <w:rFonts w:ascii="Century" w:hAnsi="Century" w:cs="Century Becker Schoolbook"/>
          <w:i/>
          <w:iCs/>
          <w:sz w:val="28"/>
          <w:szCs w:val="28"/>
        </w:rPr>
        <w:t xml:space="preserve">Fraternal Order of Police, Metro. Police Labor </w:t>
      </w:r>
      <w:r w:rsidRPr="00256085">
        <w:rPr>
          <w:rFonts w:ascii="Century" w:hAnsi="Century" w:cs="Century Becker Schoolbook"/>
          <w:i/>
          <w:iCs/>
          <w:sz w:val="28"/>
          <w:szCs w:val="28"/>
        </w:rPr>
        <w:t>Comm. v. District of Columbia</w:t>
      </w:r>
      <w:r w:rsidRPr="00256085">
        <w:rPr>
          <w:rFonts w:ascii="Century" w:hAnsi="Century" w:cs="Century Becker Schoolbook"/>
          <w:sz w:val="28"/>
          <w:szCs w:val="28"/>
        </w:rPr>
        <w:t>, 79 A.3d 347, 354 (D.C. 2013) (“</w:t>
      </w:r>
      <w:r w:rsidRPr="00256085">
        <w:rPr>
          <w:rFonts w:ascii="Century" w:hAnsi="Century" w:cs="Century Becker Schoolbook"/>
          <w:i/>
          <w:iCs/>
          <w:sz w:val="28"/>
          <w:szCs w:val="28"/>
        </w:rPr>
        <w:t>FOP 2013</w:t>
      </w:r>
      <w:r w:rsidRPr="00256085">
        <w:rPr>
          <w:rFonts w:ascii="Century" w:hAnsi="Century" w:cs="Century Becker Schoolbook"/>
          <w:sz w:val="28"/>
          <w:szCs w:val="28"/>
        </w:rPr>
        <w:t xml:space="preserve">”).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Consistent with that general principle, this Court has generally r</w:t>
      </w:r>
      <w:r w:rsidRPr="00256085">
        <w:rPr>
          <w:rFonts w:ascii="Century" w:hAnsi="Century" w:cs="Century Becker Schoolbook"/>
          <w:sz w:val="28"/>
          <w:szCs w:val="28"/>
        </w:rPr>
        <w:t xml:space="preserve">ejected an agency’s resort to Exemption 6 except when the “other statute” is clear on its face.  Compare, </w:t>
      </w:r>
      <w:r w:rsidRPr="00256085">
        <w:rPr>
          <w:rFonts w:ascii="Century" w:hAnsi="Century" w:cs="Century Becker Schoolbook"/>
          <w:i/>
          <w:iCs/>
          <w:sz w:val="28"/>
          <w:szCs w:val="28"/>
        </w:rPr>
        <w:t>e.g.</w:t>
      </w:r>
      <w:r w:rsidRPr="00256085">
        <w:rPr>
          <w:rFonts w:ascii="Century" w:hAnsi="Century" w:cs="Century Becker Schoolbook"/>
          <w:sz w:val="28"/>
          <w:szCs w:val="28"/>
        </w:rPr>
        <w:t xml:space="preserve">, </w:t>
      </w:r>
      <w:r w:rsidRPr="00256085">
        <w:rPr>
          <w:rFonts w:ascii="Century" w:hAnsi="Century" w:cs="Century Becker Schoolbook"/>
          <w:i/>
          <w:iCs/>
          <w:sz w:val="28"/>
          <w:szCs w:val="28"/>
        </w:rPr>
        <w:t xml:space="preserve">Vining </w:t>
      </w:r>
      <w:r w:rsidRPr="00256085">
        <w:rPr>
          <w:rFonts w:ascii="Century" w:hAnsi="Century" w:cs="Century Becker Schoolbook"/>
          <w:sz w:val="28"/>
          <w:szCs w:val="28"/>
        </w:rPr>
        <w:t xml:space="preserve">(Legislative Privilege Act not covered by the exemption); </w:t>
      </w:r>
      <w:r w:rsidRPr="00256085">
        <w:rPr>
          <w:rFonts w:ascii="Century" w:hAnsi="Century" w:cs="Century Becker Schoolbook"/>
          <w:i/>
          <w:iCs/>
          <w:sz w:val="28"/>
          <w:szCs w:val="28"/>
        </w:rPr>
        <w:t xml:space="preserve">Newspapers, Inc. v. Metro. </w:t>
      </w:r>
      <w:r w:rsidRPr="00256085">
        <w:rPr>
          <w:rFonts w:ascii="Century" w:hAnsi="Century" w:cs="Century Becker Schoolbook"/>
          <w:i/>
          <w:iCs/>
          <w:sz w:val="28"/>
          <w:szCs w:val="28"/>
        </w:rPr>
        <w:lastRenderedPageBreak/>
        <w:t>Police Dep't</w:t>
      </w:r>
      <w:r w:rsidRPr="00256085">
        <w:rPr>
          <w:rFonts w:ascii="Century" w:hAnsi="Century" w:cs="Century Becker Schoolbook"/>
          <w:sz w:val="28"/>
          <w:szCs w:val="28"/>
        </w:rPr>
        <w:t>, 546 A.2d 990 (D.C. 1988) (pre-home ru</w:t>
      </w:r>
      <w:r w:rsidRPr="00256085">
        <w:rPr>
          <w:rFonts w:ascii="Century" w:hAnsi="Century" w:cs="Century Becker Schoolbook"/>
          <w:sz w:val="28"/>
          <w:szCs w:val="28"/>
        </w:rPr>
        <w:t xml:space="preserve">le “Duncan Ordinance” not a “statute” under the exemption); </w:t>
      </w:r>
      <w:r w:rsidRPr="00256085">
        <w:rPr>
          <w:rFonts w:ascii="Century" w:hAnsi="Century" w:cs="Century Becker Schoolbook"/>
          <w:i/>
          <w:iCs/>
          <w:sz w:val="28"/>
          <w:szCs w:val="28"/>
        </w:rPr>
        <w:t>Barry v. Washington Post Co</w:t>
      </w:r>
      <w:r w:rsidRPr="00256085">
        <w:rPr>
          <w:rFonts w:ascii="Century" w:hAnsi="Century" w:cs="Century Becker Schoolbook"/>
          <w:sz w:val="28"/>
          <w:szCs w:val="28"/>
        </w:rPr>
        <w:t>., 529 A.2d 319 321 (D.C. 1987) (statute creating mayor's discretionary and ceremonial funds does not exempt any material) with</w:t>
      </w:r>
      <w:r w:rsidRPr="00256085">
        <w:rPr>
          <w:rFonts w:ascii="Century" w:hAnsi="Century" w:cs="Century Becker Schoolbook"/>
          <w:i/>
          <w:iCs/>
          <w:sz w:val="28"/>
          <w:szCs w:val="28"/>
        </w:rPr>
        <w:t xml:space="preserve"> Riley v. </w:t>
      </w:r>
      <w:proofErr w:type="spellStart"/>
      <w:r w:rsidRPr="00256085">
        <w:rPr>
          <w:rFonts w:ascii="Century" w:hAnsi="Century" w:cs="Century Becker Schoolbook"/>
          <w:i/>
          <w:iCs/>
          <w:sz w:val="28"/>
          <w:szCs w:val="28"/>
        </w:rPr>
        <w:t>Fenty</w:t>
      </w:r>
      <w:proofErr w:type="spellEnd"/>
      <w:r w:rsidRPr="00256085">
        <w:rPr>
          <w:rFonts w:ascii="Century" w:hAnsi="Century" w:cs="Century Becker Schoolbook"/>
          <w:sz w:val="28"/>
          <w:szCs w:val="28"/>
        </w:rPr>
        <w:t>, 7 A.3d 1014 (D.C. 2010) (</w:t>
      </w:r>
      <w:r w:rsidRPr="00256085">
        <w:rPr>
          <w:rFonts w:ascii="Century" w:hAnsi="Century" w:cs="Century Becker Schoolbook"/>
          <w:sz w:val="28"/>
          <w:szCs w:val="28"/>
        </w:rPr>
        <w:t>request for records that “pertain to” certain youths in custody barred by statute allowing agency to withhold “records pertaining to youths in custody”).</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There are two reasons why Exemption 6 does not permit withholding private letter rulings in their ent</w:t>
      </w:r>
      <w:r w:rsidRPr="00256085">
        <w:rPr>
          <w:rFonts w:ascii="Century" w:hAnsi="Century" w:cs="Century Becker Schoolbook"/>
          <w:sz w:val="28"/>
          <w:szCs w:val="28"/>
        </w:rPr>
        <w:t>irety.</w:t>
      </w:r>
    </w:p>
    <w:p w:rsidR="00000000" w:rsidRPr="00256085" w:rsidRDefault="00AE1CCA">
      <w:pPr>
        <w:tabs>
          <w:tab w:val="left" w:pos="-179"/>
        </w:tabs>
        <w:spacing w:line="480" w:lineRule="auto"/>
        <w:rPr>
          <w:rFonts w:ascii="Century" w:hAnsi="Century" w:cs="Century Becker Schoolbook"/>
          <w:sz w:val="28"/>
          <w:szCs w:val="28"/>
          <w:u w:val="single"/>
        </w:rPr>
      </w:pPr>
      <w:r w:rsidRPr="00256085">
        <w:rPr>
          <w:rFonts w:ascii="Century" w:hAnsi="Century" w:cs="Century Becker Schoolbook"/>
          <w:sz w:val="28"/>
          <w:szCs w:val="28"/>
        </w:rPr>
        <w:tab/>
        <w:t xml:space="preserve">  </w:t>
      </w:r>
      <w:r w:rsidRPr="00256085">
        <w:rPr>
          <w:rFonts w:ascii="Century" w:hAnsi="Century" w:cs="Century Becker Schoolbook"/>
          <w:sz w:val="28"/>
          <w:szCs w:val="28"/>
        </w:rPr>
        <w:t xml:space="preserve">1.  </w:t>
      </w:r>
      <w:r w:rsidRPr="00256085">
        <w:rPr>
          <w:rFonts w:ascii="Century" w:hAnsi="Century" w:cs="Century Becker Schoolbook"/>
          <w:sz w:val="28"/>
          <w:szCs w:val="28"/>
          <w:u w:val="single"/>
        </w:rPr>
        <w:t>The cited statute does not protect rulings in their entirety.</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The statute upon which OTR and the trial court rely is D.C. Code § 47-4406(a), quoted in full at p. __, </w:t>
      </w:r>
      <w:r w:rsidRPr="00256085">
        <w:rPr>
          <w:rFonts w:ascii="Century" w:hAnsi="Century" w:cs="Century Becker Schoolbook"/>
          <w:i/>
          <w:iCs/>
          <w:sz w:val="28"/>
          <w:szCs w:val="28"/>
        </w:rPr>
        <w:t>supra</w:t>
      </w:r>
      <w:r w:rsidRPr="00256085">
        <w:rPr>
          <w:rFonts w:ascii="Century" w:hAnsi="Century" w:cs="Century Becker Schoolbook"/>
          <w:sz w:val="28"/>
          <w:szCs w:val="28"/>
        </w:rPr>
        <w:t xml:space="preserve">.  As the trial court noted, the two pertinent portions of that </w:t>
      </w:r>
      <w:r w:rsidRPr="00256085">
        <w:rPr>
          <w:rFonts w:ascii="Century" w:hAnsi="Century" w:cs="Century Becker Schoolbook"/>
          <w:sz w:val="28"/>
          <w:szCs w:val="28"/>
        </w:rPr>
        <w:t>statute state that–</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24"/>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sz w:val="28"/>
          <w:szCs w:val="28"/>
        </w:rPr>
      </w:pPr>
      <w:r w:rsidRPr="00256085">
        <w:rPr>
          <w:rFonts w:ascii="Century" w:hAnsi="Century"/>
          <w:sz w:val="28"/>
          <w:szCs w:val="28"/>
        </w:rPr>
        <w:t>. . . an officer, employee, or contractor, or a former officer, emplo</w:t>
      </w:r>
      <w:r w:rsidRPr="00256085">
        <w:rPr>
          <w:rFonts w:ascii="Century" w:hAnsi="Century"/>
          <w:sz w:val="28"/>
          <w:szCs w:val="28"/>
        </w:rPr>
        <w:t xml:space="preserve">yee, or contractor, of the District of Columbia shall not divulge or make known in any manner the amount of reported value, or any information relating to value or the computation of value, disclosed in a return required to be filed under this title. </w:t>
      </w:r>
    </w:p>
    <w:p w:rsidR="00000000" w:rsidRPr="00256085" w:rsidRDefault="00AE1CCA">
      <w:pPr>
        <w:tabs>
          <w:tab w:val="left" w:pos="-899"/>
        </w:tabs>
        <w:rPr>
          <w:rFonts w:ascii="Century" w:hAnsi="Century"/>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25"/>
          <w:type w:val="continuous"/>
          <w:pgSz w:w="12240" w:h="15840"/>
          <w:pgMar w:top="1350" w:right="2160" w:bottom="900" w:left="2160" w:header="1440" w:footer="1440" w:gutter="0"/>
          <w:cols w:space="720"/>
          <w:noEndnote/>
        </w:sectPr>
      </w:pPr>
    </w:p>
    <w:p w:rsidR="00000000" w:rsidRPr="00256085" w:rsidRDefault="00AE1CCA">
      <w:pPr>
        <w:tabs>
          <w:tab w:val="left" w:pos="-269"/>
        </w:tabs>
        <w:rPr>
          <w:rFonts w:ascii="Century" w:hAnsi="Century"/>
          <w:sz w:val="28"/>
          <w:szCs w:val="28"/>
        </w:rPr>
      </w:pPr>
      <w:proofErr w:type="gramStart"/>
      <w:r w:rsidRPr="00256085">
        <w:rPr>
          <w:rFonts w:ascii="Century" w:hAnsi="Century"/>
          <w:sz w:val="28"/>
          <w:szCs w:val="28"/>
        </w:rPr>
        <w:t>and</w:t>
      </w:r>
      <w:proofErr w:type="gramEnd"/>
      <w:r w:rsidRPr="00256085">
        <w:rPr>
          <w:rFonts w:ascii="Century" w:hAnsi="Century"/>
          <w:sz w:val="28"/>
          <w:szCs w:val="28"/>
        </w:rPr>
        <w:t xml:space="preserve"> that–</w:t>
      </w:r>
    </w:p>
    <w:p w:rsidR="00000000" w:rsidRPr="00256085" w:rsidRDefault="00AE1CCA">
      <w:pPr>
        <w:tabs>
          <w:tab w:val="left" w:pos="-269"/>
        </w:tabs>
        <w:rPr>
          <w:rFonts w:ascii="Century" w:hAnsi="Century"/>
          <w:sz w:val="28"/>
          <w:szCs w:val="28"/>
        </w:rPr>
      </w:pPr>
    </w:p>
    <w:p w:rsidR="00000000" w:rsidRPr="00256085" w:rsidRDefault="00AE1CCA">
      <w:pPr>
        <w:tabs>
          <w:tab w:val="left" w:pos="-269"/>
        </w:tabs>
        <w:rPr>
          <w:rFonts w:ascii="Century" w:hAnsi="Century"/>
          <w:sz w:val="28"/>
          <w:szCs w:val="28"/>
        </w:rPr>
        <w:sectPr w:rsidR="00000000" w:rsidRPr="00256085">
          <w:footerReference w:type="default" r:id="rId26"/>
          <w:type w:val="continuous"/>
          <w:pgSz w:w="12240" w:h="15840"/>
          <w:pgMar w:top="1350" w:right="2160" w:bottom="900" w:left="1530" w:header="1440" w:footer="1440" w:gutter="0"/>
          <w:cols w:space="720"/>
          <w:noEndnote/>
        </w:sectPr>
      </w:pPr>
    </w:p>
    <w:p w:rsidR="00000000" w:rsidRPr="00256085" w:rsidRDefault="00AE1CCA">
      <w:pPr>
        <w:tabs>
          <w:tab w:val="left" w:pos="-899"/>
        </w:tabs>
        <w:rPr>
          <w:rFonts w:ascii="Century" w:hAnsi="Century"/>
          <w:sz w:val="28"/>
          <w:szCs w:val="28"/>
        </w:rPr>
      </w:pPr>
      <w:r w:rsidRPr="00256085">
        <w:rPr>
          <w:rFonts w:ascii="Century" w:hAnsi="Century"/>
          <w:sz w:val="28"/>
          <w:szCs w:val="28"/>
        </w:rPr>
        <w:t xml:space="preserve">This subsection shall also be applicable to federal, state, or </w:t>
      </w:r>
      <w:r w:rsidRPr="00256085">
        <w:rPr>
          <w:rFonts w:ascii="Century" w:hAnsi="Century"/>
          <w:sz w:val="28"/>
          <w:szCs w:val="28"/>
        </w:rPr>
        <w:lastRenderedPageBreak/>
        <w:t xml:space="preserve">local tax returns (or </w:t>
      </w:r>
      <w:r w:rsidRPr="00256085">
        <w:rPr>
          <w:rFonts w:ascii="Century" w:hAnsi="Century"/>
          <w:sz w:val="28"/>
          <w:szCs w:val="28"/>
        </w:rPr>
        <w:t>copies of these returns) and to federal, state, or local tax information either submitted by the taxpayer or otherwise obtained.</w:t>
      </w:r>
    </w:p>
    <w:p w:rsidR="00000000" w:rsidRPr="00256085" w:rsidRDefault="00AE1CCA">
      <w:pPr>
        <w:tabs>
          <w:tab w:val="left" w:pos="-899"/>
        </w:tabs>
        <w:rPr>
          <w:rFonts w:ascii="Century" w:hAnsi="Century"/>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27"/>
          <w:type w:val="continuous"/>
          <w:pgSz w:w="12240" w:h="15840"/>
          <w:pgMar w:top="1350" w:right="2250" w:bottom="900" w:left="2160" w:header="1440" w:footer="1440" w:gutter="0"/>
          <w:cols w:space="720"/>
          <w:noEndnote/>
        </w:sectPr>
      </w:pPr>
    </w:p>
    <w:p w:rsidR="00000000" w:rsidRPr="00256085" w:rsidRDefault="00AE1CCA">
      <w:pPr>
        <w:tabs>
          <w:tab w:val="left" w:pos="-179"/>
        </w:tabs>
        <w:spacing w:line="480" w:lineRule="auto"/>
        <w:rPr>
          <w:rFonts w:ascii="Century" w:hAnsi="Century"/>
          <w:sz w:val="28"/>
          <w:szCs w:val="28"/>
        </w:rPr>
      </w:pPr>
      <w:r w:rsidRPr="00256085">
        <w:rPr>
          <w:rFonts w:ascii="Century" w:hAnsi="Century"/>
          <w:sz w:val="28"/>
          <w:szCs w:val="28"/>
        </w:rPr>
        <w:t>We address each part in turn.</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sz w:val="28"/>
          <w:szCs w:val="28"/>
        </w:rPr>
        <w:tab/>
        <w:t>With respect to the first quoted excerpt, private lett</w:t>
      </w:r>
      <w:r w:rsidRPr="00256085">
        <w:rPr>
          <w:rFonts w:ascii="Century" w:hAnsi="Century"/>
          <w:sz w:val="28"/>
          <w:szCs w:val="28"/>
        </w:rPr>
        <w:t>er rulings plainly fall outside the scope of the statutory text.  The trial court acknowledged the point in denying OTR’s motion to dismiss (J.A. ___).  The reason is that this portion of section 47-4406(a</w:t>
      </w:r>
      <w:r w:rsidRPr="00256085">
        <w:rPr>
          <w:rFonts w:ascii="Century" w:hAnsi="Century" w:cs="Century Becker Schoolbook"/>
          <w:sz w:val="28"/>
          <w:szCs w:val="28"/>
        </w:rPr>
        <w:t>) bars disclosure of certain specified types of inf</w:t>
      </w:r>
      <w:r w:rsidRPr="00256085">
        <w:rPr>
          <w:rFonts w:ascii="Century" w:hAnsi="Century" w:cs="Century Becker Schoolbook"/>
          <w:sz w:val="28"/>
          <w:szCs w:val="28"/>
        </w:rPr>
        <w:t>ormation that are “disclosed in a return required to be filed.”  By contrast, private letter rulings predate returns.  The person requesting the ruling is generally seeking advice on how a certain fact pattern should be treated under the tax laws when fili</w:t>
      </w:r>
      <w:r w:rsidRPr="00256085">
        <w:rPr>
          <w:rFonts w:ascii="Century" w:hAnsi="Century" w:cs="Century Becker Schoolbook"/>
          <w:sz w:val="28"/>
          <w:szCs w:val="28"/>
        </w:rPr>
        <w:t xml:space="preserve">ng a </w:t>
      </w:r>
      <w:r w:rsidRPr="00256085">
        <w:rPr>
          <w:rFonts w:ascii="Century" w:hAnsi="Century" w:cs="Century Becker Schoolbook"/>
          <w:i/>
          <w:iCs/>
          <w:sz w:val="28"/>
          <w:szCs w:val="28"/>
        </w:rPr>
        <w:t>future</w:t>
      </w:r>
      <w:r w:rsidRPr="00256085">
        <w:rPr>
          <w:rFonts w:ascii="Century" w:hAnsi="Century" w:cs="Century Becker Schoolbook"/>
          <w:sz w:val="28"/>
          <w:szCs w:val="28"/>
        </w:rPr>
        <w:t xml:space="preserve"> return.  “Does the fact pattern in my request letter qualify for a certain tax credit?”  “If I structure a proposed deal this way, will there </w:t>
      </w:r>
      <w:proofErr w:type="spellStart"/>
      <w:r w:rsidRPr="00256085">
        <w:rPr>
          <w:rFonts w:ascii="Century" w:hAnsi="Century" w:cs="Century Becker Schoolbook"/>
          <w:sz w:val="28"/>
          <w:szCs w:val="28"/>
        </w:rPr>
        <w:t>by</w:t>
      </w:r>
      <w:proofErr w:type="spellEnd"/>
      <w:r w:rsidRPr="00256085">
        <w:rPr>
          <w:rFonts w:ascii="Century" w:hAnsi="Century" w:cs="Century Becker Schoolbook"/>
          <w:sz w:val="28"/>
          <w:szCs w:val="28"/>
        </w:rPr>
        <w:t xml:space="preserve"> any tax liability?”  OTR will respond by addressing the tax consequences of that hypothetical, and </w:t>
      </w:r>
      <w:r w:rsidRPr="00256085">
        <w:rPr>
          <w:rFonts w:ascii="Century" w:hAnsi="Century" w:cs="Century Becker Schoolbook"/>
          <w:sz w:val="28"/>
          <w:szCs w:val="28"/>
        </w:rPr>
        <w:t xml:space="preserve">OTR’s conclusion is binding on OTR as to the requester.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Private letter rulings do not, however, involve disclosure of a “return.”  Indeed, if OTR’s conclusion is not to the taxpayer’s liking, </w:t>
      </w:r>
      <w:r w:rsidRPr="00256085">
        <w:rPr>
          <w:rFonts w:ascii="Century" w:hAnsi="Century" w:cs="Century Becker Schoolbook"/>
          <w:sz w:val="28"/>
          <w:szCs w:val="28"/>
        </w:rPr>
        <w:lastRenderedPageBreak/>
        <w:t>the requester may choose not to pursue the transaction as laid</w:t>
      </w:r>
      <w:r w:rsidRPr="00256085">
        <w:rPr>
          <w:rFonts w:ascii="Century" w:hAnsi="Century" w:cs="Century Becker Schoolbook"/>
          <w:sz w:val="28"/>
          <w:szCs w:val="28"/>
        </w:rPr>
        <w:t xml:space="preserve"> out to OTR.  As a result, the disclosure of a private letter ruling would not “</w:t>
      </w:r>
      <w:proofErr w:type="gramStart"/>
      <w:r w:rsidRPr="00256085">
        <w:rPr>
          <w:rFonts w:ascii="Century" w:hAnsi="Century" w:cs="Century Becker Schoolbook"/>
          <w:sz w:val="28"/>
          <w:szCs w:val="28"/>
        </w:rPr>
        <w:t>disclose[</w:t>
      </w:r>
      <w:proofErr w:type="gramEnd"/>
      <w:r w:rsidRPr="00256085">
        <w:rPr>
          <w:rFonts w:ascii="Century" w:hAnsi="Century" w:cs="Century Becker Schoolbook"/>
          <w:sz w:val="28"/>
          <w:szCs w:val="28"/>
        </w:rPr>
        <w:t xml:space="preserve"> ]” any “information” that is in “a return required to be filed.”  D.C. Code § 47-4406(a).</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This point is not theoretical:  Plaintiffs’ Exhibit 12, which is a public O</w:t>
      </w:r>
      <w:r w:rsidRPr="00256085">
        <w:rPr>
          <w:rFonts w:ascii="Century" w:hAnsi="Century" w:cs="Century Becker Schoolbook"/>
          <w:sz w:val="28"/>
          <w:szCs w:val="28"/>
        </w:rPr>
        <w:t xml:space="preserve">TR ruling (seemingly possibly taken from a private letter ruling, </w:t>
      </w:r>
      <w:r>
        <w:rPr>
          <w:rFonts w:ascii="Century" w:hAnsi="Century" w:cs="Century Becker Schoolbook"/>
          <w:sz w:val="28"/>
          <w:szCs w:val="28"/>
        </w:rPr>
        <w:t>b</w:t>
      </w:r>
      <w:r w:rsidRPr="00256085">
        <w:rPr>
          <w:rFonts w:ascii="Century" w:hAnsi="Century" w:cs="Century Becker Schoolbook"/>
          <w:sz w:val="28"/>
          <w:szCs w:val="28"/>
        </w:rPr>
        <w:t>y judging the format,</w:t>
      </w:r>
      <w:r w:rsidRPr="00256085">
        <w:rPr>
          <w:rFonts w:ascii="Century" w:hAnsi="Century" w:cs="Century Becker Schoolbook"/>
          <w:i/>
          <w:iCs/>
          <w:sz w:val="28"/>
          <w:szCs w:val="28"/>
        </w:rPr>
        <w:t xml:space="preserve"> compare </w:t>
      </w:r>
      <w:r w:rsidRPr="00256085">
        <w:rPr>
          <w:rFonts w:ascii="Century" w:hAnsi="Century" w:cs="Century Becker Schoolbook"/>
          <w:sz w:val="28"/>
          <w:szCs w:val="28"/>
        </w:rPr>
        <w:t>Pl. Ex. 10).  In that exhibit  OTR responded to a request for advice about whether the requester is required to file a District of Columbia income tax return;</w:t>
      </w:r>
      <w:r w:rsidRPr="00256085">
        <w:rPr>
          <w:rFonts w:ascii="Century" w:hAnsi="Century" w:cs="Century Becker Schoolbook"/>
          <w:sz w:val="28"/>
          <w:szCs w:val="28"/>
        </w:rPr>
        <w:t xml:space="preserve"> OTR concluded that, on the facts specified, the requester was not obligated to file such a return (Pl. Ex. 12).</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We turn now to second excerpt of D.C. Code § 47-4406(a), which allows OTR to withhold “</w:t>
      </w:r>
      <w:r w:rsidRPr="00256085">
        <w:rPr>
          <w:rFonts w:ascii="Century" w:hAnsi="Century"/>
          <w:sz w:val="28"/>
          <w:szCs w:val="28"/>
        </w:rPr>
        <w:t xml:space="preserve">federal, state, or local tax returns (or copies of </w:t>
      </w:r>
      <w:r w:rsidRPr="00256085">
        <w:rPr>
          <w:rFonts w:ascii="Century" w:hAnsi="Century"/>
          <w:sz w:val="28"/>
          <w:szCs w:val="28"/>
        </w:rPr>
        <w:t>these returns) and to federal, state, or local tax information either submitted by the taxpayer or otherwise obtained”</w:t>
      </w:r>
      <w:r w:rsidRPr="00256085">
        <w:rPr>
          <w:rFonts w:ascii="Century" w:hAnsi="Century" w:cs="Century Becker Schoolbook"/>
          <w:sz w:val="28"/>
          <w:szCs w:val="28"/>
        </w:rPr>
        <w:t xml:space="preserve"> (emphasis added).  The trial court erred in reading this phrase as shielding private letter rulings in their entirely, with OTR having “n</w:t>
      </w:r>
      <w:r w:rsidRPr="00256085">
        <w:rPr>
          <w:rFonts w:ascii="Century" w:hAnsi="Century" w:cs="Century Becker Schoolbook"/>
          <w:sz w:val="28"/>
          <w:szCs w:val="28"/>
        </w:rPr>
        <w:t xml:space="preserve">o discretion” to release any portion of such rulings (J.A. __).  Specifically, the trial court ignored a </w:t>
      </w:r>
      <w:r w:rsidRPr="00256085">
        <w:rPr>
          <w:rFonts w:ascii="Century" w:hAnsi="Century" w:cs="Century Becker Schoolbook"/>
          <w:sz w:val="28"/>
          <w:szCs w:val="28"/>
        </w:rPr>
        <w:lastRenderedPageBreak/>
        <w:t>definition of “tax information” in section 47-4406 that suggests a more narrow scope of what may withheld.  In addition, the trial court was clearly wr</w:t>
      </w:r>
      <w:r w:rsidRPr="00256085">
        <w:rPr>
          <w:rFonts w:ascii="Century" w:hAnsi="Century" w:cs="Century Becker Schoolbook"/>
          <w:sz w:val="28"/>
          <w:szCs w:val="28"/>
        </w:rPr>
        <w:t>ong on the facts in holding that OTR had “no discretion” to release private letter rulings, given record evidence that OTR can – and has – disclosed private letter rulings with names and identifiers redacted – which is precisely the result that Tax Analyst</w:t>
      </w:r>
      <w:r w:rsidRPr="00256085">
        <w:rPr>
          <w:rFonts w:ascii="Century" w:hAnsi="Century" w:cs="Century Becker Schoolbook"/>
          <w:sz w:val="28"/>
          <w:szCs w:val="28"/>
        </w:rPr>
        <w:t>s seeks here.</w:t>
      </w:r>
      <w:r w:rsidRPr="00256085">
        <w:rPr>
          <w:rFonts w:ascii="Century" w:hAnsi="Century" w:cs="Times New Roman"/>
          <w:sz w:val="28"/>
          <w:szCs w:val="28"/>
          <w:vertAlign w:val="superscript"/>
        </w:rPr>
        <w:footnoteReference w:customMarkFollows="1" w:id="5"/>
        <w:t>5</w:t>
      </w:r>
      <w:r w:rsidRPr="00256085">
        <w:rPr>
          <w:rFonts w:ascii="Century" w:hAnsi="Century" w:cs="Century Becker Schoolbook"/>
          <w:sz w:val="28"/>
          <w:szCs w:val="28"/>
        </w:rPr>
        <w:t xml:space="preserve"> </w:t>
      </w:r>
      <w:r w:rsidRPr="00256085">
        <w:rPr>
          <w:rFonts w:ascii="Century" w:hAnsi="Century" w:cs="Century Becker Schoolbook"/>
          <w:sz w:val="28"/>
          <w:szCs w:val="28"/>
        </w:rPr>
        <w:tab/>
        <w:t>The phrase “tax information” is not defined in Title 47 of the D.C. Code, and neither are the more specific phrases “state tax information” or “local tax inform</w:t>
      </w:r>
      <w:r w:rsidRPr="00256085">
        <w:rPr>
          <w:rFonts w:ascii="Century" w:hAnsi="Century" w:cs="Century Becker Schoolbook"/>
          <w:sz w:val="28"/>
          <w:szCs w:val="28"/>
        </w:rPr>
        <w:t>ation.”  However, D.C. Code § 47-4406(h</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 xml:space="preserve">3) does define “federal tax information” in a way that, as we shall demonstrate, argues in favor of disclosing the letter rulings at issue here.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D.C. Code § 47-4406(h</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3) defines “federal tax information” as–</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28"/>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a return or return information received directly from the Internal Revenue Service or obt</w:t>
      </w:r>
      <w:r w:rsidRPr="00256085">
        <w:rPr>
          <w:rFonts w:ascii="Century" w:hAnsi="Century" w:cs="Century Becker Schoolbook"/>
          <w:sz w:val="28"/>
          <w:szCs w:val="28"/>
        </w:rPr>
        <w:t xml:space="preserve">ained through an authorized secondary source, such as the Social Security Administration or any entity acting on behalf of the Internal Revenue Service pursuant to an Internal Revenue Code section 6103(p)(2)(B) agreement. </w:t>
      </w:r>
    </w:p>
    <w:p w:rsidR="00000000" w:rsidRPr="00256085" w:rsidRDefault="00AE1CCA">
      <w:pPr>
        <w:tabs>
          <w:tab w:val="left" w:pos="-899"/>
        </w:tabs>
        <w:rPr>
          <w:rFonts w:ascii="Century" w:hAnsi="Century" w:cs="Century Becker Schoolbook"/>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29"/>
          <w:type w:val="continuous"/>
          <w:pgSz w:w="12240" w:h="15840"/>
          <w:pgMar w:top="135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 xml:space="preserve">By defining “federal tax information” as either a “return” or “return information,” </w:t>
      </w:r>
      <w:r w:rsidRPr="00256085">
        <w:rPr>
          <w:rFonts w:ascii="Century" w:hAnsi="Century" w:cs="Century Becker Schoolbook"/>
          <w:sz w:val="28"/>
          <w:szCs w:val="28"/>
        </w:rPr>
        <w:t xml:space="preserve">section 47-4406 tracks I.R.C. § 6103, the key provision of the Internal Revenue Code with respect to taxpayer confidentiality.     </w:t>
      </w:r>
    </w:p>
    <w:p w:rsidR="00000000" w:rsidRPr="00256085" w:rsidRDefault="00AE1CCA" w:rsidP="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I.R.C. § 6103(b</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1) defines a “return” as “any tax or information return, declaration of estimated tax, or claim for refu</w:t>
      </w:r>
      <w:r w:rsidRPr="00256085">
        <w:rPr>
          <w:rFonts w:ascii="Century" w:hAnsi="Century" w:cs="Century Becker Schoolbook"/>
          <w:sz w:val="28"/>
          <w:szCs w:val="28"/>
        </w:rPr>
        <w:t>nd,” plus amendments, supplements, schedules and the like.</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I.R.C. 6103(b</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2) defines “return information” in several contexts, along with a general definition in I.R.C. § 6103(b)(2)(A) bars disclosure of:</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30"/>
          <w:type w:val="continuous"/>
          <w:pgSz w:w="12240" w:h="15840"/>
          <w:pgMar w:top="1350" w:right="1440" w:bottom="900" w:left="1440" w:header="1440" w:footer="1440" w:gutter="0"/>
          <w:cols w:space="720"/>
          <w:noEndnote/>
        </w:sectPr>
      </w:pPr>
    </w:p>
    <w:p w:rsidR="00000000" w:rsidRPr="00256085" w:rsidRDefault="00AE1CCA">
      <w:pPr>
        <w:tabs>
          <w:tab w:val="left" w:pos="-899"/>
        </w:tabs>
        <w:rPr>
          <w:rFonts w:ascii="Century" w:hAnsi="Century" w:cs="Times New Roman"/>
          <w:sz w:val="28"/>
          <w:szCs w:val="28"/>
        </w:rPr>
      </w:pPr>
      <w:r w:rsidRPr="00256085">
        <w:rPr>
          <w:rFonts w:ascii="Century" w:hAnsi="Century" w:cs="Century Becker Schoolbook"/>
          <w:sz w:val="28"/>
          <w:szCs w:val="28"/>
        </w:rPr>
        <w:t>a taxpayer’s identity, the nature, source, or amount of his income, payments, receipts, d</w:t>
      </w:r>
      <w:r w:rsidRPr="00256085">
        <w:rPr>
          <w:rFonts w:ascii="Century" w:hAnsi="Century" w:cs="Century Becker Schoolbook"/>
          <w:sz w:val="28"/>
          <w:szCs w:val="28"/>
        </w:rPr>
        <w:t>eductions, exemptions, credits, assets, liabilities, net worth, tax liability, tax withheld, deficiencies, overassessments, or tax payments, whether the taxpayer’s return was, is being, or will be examined or subject to other investigation or processing, o</w:t>
      </w:r>
      <w:r w:rsidRPr="00256085">
        <w:rPr>
          <w:rFonts w:ascii="Century" w:hAnsi="Century" w:cs="Century Becker Schoolbook"/>
          <w:sz w:val="28"/>
          <w:szCs w:val="28"/>
        </w:rPr>
        <w:t>r any other data, received by, recorded by, prepared by, furnished to, or collected by the Secretary with respect to a return or with respect to the determination of the existence, or possible existence, of liability (or the amount thereof) of any person u</w:t>
      </w:r>
      <w:r w:rsidRPr="00256085">
        <w:rPr>
          <w:rFonts w:ascii="Century" w:hAnsi="Century" w:cs="Century Becker Schoolbook"/>
          <w:sz w:val="28"/>
          <w:szCs w:val="28"/>
        </w:rPr>
        <w:t>nder this title for any tax, penalty, interest, fine, forfeiture, or other imposition, or offense. . . .</w:t>
      </w:r>
    </w:p>
    <w:p w:rsidR="00000000" w:rsidRPr="00256085" w:rsidRDefault="00AE1CCA">
      <w:pPr>
        <w:tabs>
          <w:tab w:val="left" w:pos="-899"/>
        </w:tabs>
        <w:rPr>
          <w:rFonts w:ascii="Century" w:hAnsi="Century" w:cs="Times New Roman"/>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31"/>
          <w:type w:val="continuous"/>
          <w:pgSz w:w="12240" w:h="15840"/>
          <w:pgMar w:top="135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This language indicates the sort of specific, personal identifiers that can be redacted in order to protect taxpayer privacy.</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lastRenderedPageBreak/>
        <w:tab/>
        <w:t>Tax Analysts’ position, in brief, is that D.C. Code § 47-4606(a) should be construed to require disclosure o</w:t>
      </w:r>
      <w:r w:rsidRPr="00256085">
        <w:rPr>
          <w:rFonts w:ascii="Century" w:hAnsi="Century" w:cs="Century Becker Schoolbook"/>
          <w:sz w:val="28"/>
          <w:szCs w:val="28"/>
        </w:rPr>
        <w:t>f private letter rulings with the names and similar identifiers redacted.  This approach is consistent with the FOIA’s requirement that exemptions be narrowly construed in light of the pro-disclosure policy in the Act.  Disclosure of identifiers redacted i</w:t>
      </w:r>
      <w:r w:rsidRPr="00256085">
        <w:rPr>
          <w:rFonts w:ascii="Century" w:hAnsi="Century" w:cs="Century Becker Schoolbook"/>
          <w:sz w:val="28"/>
          <w:szCs w:val="28"/>
        </w:rPr>
        <w:t>s an approach that harmonizes the two important policy goals that are implicated here:  the FOIA’s goal of disclosing “statements of policy and interpretations of policy, acts, and rules” with section 47-4406’s goal of protecting individual taxpayer privac</w:t>
      </w:r>
      <w:r w:rsidRPr="00256085">
        <w:rPr>
          <w:rFonts w:ascii="Century" w:hAnsi="Century" w:cs="Century Becker Schoolbook"/>
          <w:sz w:val="28"/>
          <w:szCs w:val="28"/>
        </w:rPr>
        <w:t xml:space="preserve">y.  </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32"/>
          <w:type w:val="continuous"/>
          <w:pgSz w:w="12240" w:h="15840"/>
          <w:pgMar w:top="1350" w:right="1440" w:bottom="900" w:left="144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This approach is also consistent with how the IRS has been disclosing private lette</w:t>
      </w:r>
      <w:r w:rsidRPr="00256085">
        <w:rPr>
          <w:rFonts w:ascii="Century" w:hAnsi="Century" w:cs="Century Becker Schoolbook"/>
          <w:sz w:val="28"/>
          <w:szCs w:val="28"/>
        </w:rPr>
        <w:t>r rulings since the 1970s.  As noted above (at p. _), in 1974, the District of Columbia Circuit held in</w:t>
      </w:r>
      <w:r w:rsidRPr="00256085">
        <w:rPr>
          <w:rFonts w:ascii="Century" w:hAnsi="Century" w:cs="Century Becker Schoolbook"/>
          <w:i/>
          <w:iCs/>
          <w:sz w:val="28"/>
          <w:szCs w:val="28"/>
        </w:rPr>
        <w:t xml:space="preserve"> Tax Analysts and Advocates </w:t>
      </w:r>
      <w:r w:rsidRPr="00256085">
        <w:rPr>
          <w:rFonts w:ascii="Century" w:hAnsi="Century" w:cs="Century Becker Schoolbook"/>
          <w:sz w:val="28"/>
          <w:szCs w:val="28"/>
        </w:rPr>
        <w:t>that private letter rulings are not protected from disclosure under I.R.C. § 6103, which IRS had argued was the sort of “othe</w:t>
      </w:r>
      <w:r w:rsidRPr="00256085">
        <w:rPr>
          <w:rFonts w:ascii="Century" w:hAnsi="Century" w:cs="Century Becker Schoolbook"/>
          <w:sz w:val="28"/>
          <w:szCs w:val="28"/>
        </w:rPr>
        <w:t xml:space="preserve">r statute” that forbade disclosure under the federal FOIA’s analogue to Exemption 6 (5 U.S.C. § 552(b)(3)).  Later that year, the Sixth Circuit reached the same conclusion in a similar case.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Those decisions came at a time when the Watergate Congress was</w:t>
      </w:r>
      <w:r w:rsidRPr="00256085">
        <w:rPr>
          <w:rFonts w:ascii="Century" w:hAnsi="Century" w:cs="Century Becker Schoolbook"/>
          <w:sz w:val="28"/>
          <w:szCs w:val="28"/>
        </w:rPr>
        <w:t xml:space="preserve"> </w:t>
      </w:r>
      <w:r w:rsidRPr="00256085">
        <w:rPr>
          <w:rFonts w:ascii="Century" w:hAnsi="Century" w:cs="Century Becker Schoolbook"/>
          <w:sz w:val="28"/>
          <w:szCs w:val="28"/>
        </w:rPr>
        <w:lastRenderedPageBreak/>
        <w:t xml:space="preserve">focused on striking the right balance between government transparency and the protection of personal privacy.  The Watergate Congress in 1974 passed significant liberalizing amendments to the FOIA (Pub. L. 93-502, 93d Cong., 2d Sess., codified in various </w:t>
      </w:r>
      <w:r w:rsidRPr="00256085">
        <w:rPr>
          <w:rFonts w:ascii="Century" w:hAnsi="Century" w:cs="Century Becker Schoolbook"/>
          <w:sz w:val="28"/>
          <w:szCs w:val="28"/>
        </w:rPr>
        <w:t>sections of 5 U.S.C. § 552), as it also passed the Privacy Act, which created significant protections with respect to information about individuals that were contained in government agencies (Pub. L. 93-579, 93d Cong., 2d Sess., codified as 5 U.S.C. § 552a</w:t>
      </w:r>
      <w:r w:rsidRPr="00256085">
        <w:rPr>
          <w:rFonts w:ascii="Century" w:hAnsi="Century" w:cs="Century Becker Schoolbook"/>
          <w:sz w:val="28"/>
          <w:szCs w:val="28"/>
        </w:rPr>
        <w:t>).</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The history was cited when the next Congress enacted the Tax Reform Act of 1976, which formed the framework for current federal disclosure policies with respect to tax returns and return information.  A report accompanying that Act from the Joint Commi</w:t>
      </w:r>
      <w:r w:rsidRPr="00256085">
        <w:rPr>
          <w:rFonts w:ascii="Century" w:hAnsi="Century" w:cs="Century Becker Schoolbook"/>
          <w:sz w:val="28"/>
          <w:szCs w:val="28"/>
        </w:rPr>
        <w:t xml:space="preserve">ttee on Taxation explained that even with enactment of the Privacy Act, “Congress did not specifically focus on the unique aspects of tax returns in the Privacy Act.”  Joint Committee on Taxation, </w:t>
      </w:r>
      <w:r w:rsidRPr="00256085">
        <w:rPr>
          <w:rFonts w:ascii="Century" w:hAnsi="Century" w:cs="Century Becker Schoolbook"/>
          <w:i/>
          <w:iCs/>
          <w:sz w:val="28"/>
          <w:szCs w:val="28"/>
        </w:rPr>
        <w:t>General Explanation of the Tax Reform Act of 1976</w:t>
      </w:r>
      <w:r w:rsidRPr="00256085">
        <w:rPr>
          <w:rFonts w:ascii="Century" w:hAnsi="Century" w:cs="Century Becker Schoolbook"/>
          <w:sz w:val="28"/>
          <w:szCs w:val="28"/>
        </w:rPr>
        <w:t>, 94</w:t>
      </w:r>
      <w:r w:rsidRPr="00256085">
        <w:rPr>
          <w:rFonts w:ascii="Century" w:hAnsi="Century" w:cs="Century Becker Schoolbook"/>
          <w:sz w:val="28"/>
          <w:szCs w:val="28"/>
          <w:vertAlign w:val="superscript"/>
        </w:rPr>
        <w:t>th</w:t>
      </w:r>
      <w:r w:rsidRPr="00256085">
        <w:rPr>
          <w:rFonts w:ascii="Century" w:hAnsi="Century" w:cs="Century Becker Schoolbook"/>
          <w:sz w:val="28"/>
          <w:szCs w:val="28"/>
        </w:rPr>
        <w:t xml:space="preserve"> Con</w:t>
      </w:r>
      <w:r w:rsidRPr="00256085">
        <w:rPr>
          <w:rFonts w:ascii="Century" w:hAnsi="Century" w:cs="Century Becker Schoolbook"/>
          <w:sz w:val="28"/>
          <w:szCs w:val="28"/>
        </w:rPr>
        <w:t xml:space="preserve">g., 2d Sess. 315 (1976), available at </w:t>
      </w:r>
      <w:hyperlink r:id="rId33" w:history="1">
        <w:r w:rsidRPr="00256085">
          <w:rPr>
            <w:rStyle w:val="SYSHYPERTEXT"/>
            <w:rFonts w:ascii="Century" w:hAnsi="Century" w:cs="Century Becker Schoolbook"/>
            <w:sz w:val="28"/>
            <w:szCs w:val="28"/>
          </w:rPr>
          <w:t>https://archive.org/stream/generalexplanati00jcs3376/generalexplanati0</w:t>
        </w:r>
        <w:r w:rsidRPr="00256085">
          <w:rPr>
            <w:rStyle w:val="SYSHYPERTEXT"/>
            <w:rFonts w:ascii="Century" w:hAnsi="Century" w:cs="Century Becker Schoolbook"/>
            <w:sz w:val="28"/>
            <w:szCs w:val="28"/>
          </w:rPr>
          <w:lastRenderedPageBreak/>
          <w:t>0jcs3376_djvu.txt</w:t>
        </w:r>
      </w:hyperlink>
      <w:r w:rsidRPr="00256085">
        <w:rPr>
          <w:rFonts w:ascii="Century" w:hAnsi="Century" w:cs="Century Becker Schoolbook"/>
          <w:sz w:val="28"/>
          <w:szCs w:val="28"/>
        </w:rPr>
        <w:t>.</w:t>
      </w:r>
      <w:r w:rsidRPr="00256085">
        <w:rPr>
          <w:rFonts w:ascii="Century" w:hAnsi="Century" w:cs="Times New Roman"/>
          <w:sz w:val="28"/>
          <w:szCs w:val="28"/>
          <w:vertAlign w:val="superscript"/>
        </w:rPr>
        <w:footnoteReference w:customMarkFollows="1" w:id="6"/>
        <w:t>6</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The Joint Committee outlined the situation as follows:</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34"/>
          <w:type w:val="continuous"/>
          <w:pgSz w:w="12240" w:h="15840"/>
          <w:pgMar w:top="1440" w:right="144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 xml:space="preserve">It has been argued that the private ruling system developed </w:t>
      </w:r>
      <w:r w:rsidRPr="00256085">
        <w:rPr>
          <w:rFonts w:ascii="Century" w:hAnsi="Century" w:cs="Century Becker Schoolbook"/>
          <w:sz w:val="28"/>
          <w:szCs w:val="28"/>
        </w:rPr>
        <w:t xml:space="preserve">into a body of law known only to a few members of the tax </w:t>
      </w:r>
    </w:p>
    <w:p w:rsidR="00000000" w:rsidRPr="00256085" w:rsidRDefault="00AE1CCA">
      <w:pPr>
        <w:tabs>
          <w:tab w:val="left" w:pos="-899"/>
        </w:tabs>
        <w:rPr>
          <w:rFonts w:ascii="Century" w:hAnsi="Century" w:cs="Century Becker Schoolbook"/>
          <w:sz w:val="28"/>
          <w:szCs w:val="28"/>
        </w:rPr>
      </w:pPr>
      <w:proofErr w:type="gramStart"/>
      <w:r w:rsidRPr="00256085">
        <w:rPr>
          <w:rFonts w:ascii="Century" w:hAnsi="Century" w:cs="Century Becker Schoolbook"/>
          <w:sz w:val="28"/>
          <w:szCs w:val="28"/>
        </w:rPr>
        <w:t>profession</w:t>
      </w:r>
      <w:proofErr w:type="gramEnd"/>
      <w:r w:rsidRPr="00256085">
        <w:rPr>
          <w:rFonts w:ascii="Century" w:hAnsi="Century" w:cs="Century Becker Schoolbook"/>
          <w:sz w:val="28"/>
          <w:szCs w:val="28"/>
        </w:rPr>
        <w:t xml:space="preserve">. For example, an accounting or law firm with offices in Washington could have a library of all the private ruling letters issued to its clients. Such a firm was in a </w:t>
      </w:r>
      <w:r w:rsidRPr="00256085">
        <w:rPr>
          <w:rFonts w:ascii="Century" w:hAnsi="Century" w:cs="Century Becker Schoolbook"/>
          <w:sz w:val="28"/>
          <w:szCs w:val="28"/>
        </w:rPr>
        <w:t xml:space="preserve">position to advise other clients as to the current IRS ruling position because of its special access to these rules of law. This, in turn, tended to reduce public confidence in the </w:t>
      </w:r>
    </w:p>
    <w:p w:rsidR="00000000" w:rsidRPr="00256085" w:rsidRDefault="00AE1CCA">
      <w:pPr>
        <w:tabs>
          <w:tab w:val="left" w:pos="-899"/>
        </w:tabs>
        <w:spacing w:line="480" w:lineRule="auto"/>
        <w:rPr>
          <w:rFonts w:ascii="Century" w:hAnsi="Century" w:cs="Century Becker Schoolbook"/>
          <w:sz w:val="28"/>
          <w:szCs w:val="28"/>
        </w:rPr>
      </w:pPr>
      <w:proofErr w:type="gramStart"/>
      <w:r w:rsidRPr="00256085">
        <w:rPr>
          <w:rFonts w:ascii="Century" w:hAnsi="Century" w:cs="Century Becker Schoolbook"/>
          <w:sz w:val="28"/>
          <w:szCs w:val="28"/>
        </w:rPr>
        <w:t>tax</w:t>
      </w:r>
      <w:proofErr w:type="gramEnd"/>
      <w:r w:rsidRPr="00256085">
        <w:rPr>
          <w:rFonts w:ascii="Century" w:hAnsi="Century" w:cs="Century Becker Schoolbook"/>
          <w:sz w:val="28"/>
          <w:szCs w:val="28"/>
        </w:rPr>
        <w:t xml:space="preserve"> laws. Additionally, the secrecy surrounding letter rulings generated s</w:t>
      </w:r>
      <w:r w:rsidRPr="00256085">
        <w:rPr>
          <w:rFonts w:ascii="Century" w:hAnsi="Century" w:cs="Century Becker Schoolbook"/>
          <w:sz w:val="28"/>
          <w:szCs w:val="28"/>
        </w:rPr>
        <w:t xml:space="preserve">uspicion that the tax laws were not being applied on an even-handed basis. (303) </w:t>
      </w:r>
    </w:p>
    <w:p w:rsidR="00000000" w:rsidRPr="00256085" w:rsidRDefault="00AE1CCA">
      <w:pPr>
        <w:tabs>
          <w:tab w:val="left" w:pos="-899"/>
        </w:tabs>
        <w:spacing w:line="480" w:lineRule="auto"/>
        <w:rPr>
          <w:rFonts w:ascii="Century" w:hAnsi="Century"/>
          <w:sz w:val="28"/>
          <w:szCs w:val="28"/>
        </w:rPr>
        <w:sectPr w:rsidR="00000000" w:rsidRPr="00256085">
          <w:footerReference w:type="default" r:id="rId35"/>
          <w:type w:val="continuous"/>
          <w:pgSz w:w="12240" w:h="15840"/>
          <w:pgMar w:top="144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i/>
          <w:iCs/>
          <w:sz w:val="28"/>
          <w:szCs w:val="28"/>
        </w:rPr>
        <w:t>Id.</w:t>
      </w:r>
      <w:r w:rsidRPr="00256085">
        <w:rPr>
          <w:rFonts w:ascii="Century" w:hAnsi="Century" w:cs="Century Becker Schoolbook"/>
          <w:sz w:val="28"/>
          <w:szCs w:val="28"/>
        </w:rPr>
        <w:t xml:space="preserve"> a</w:t>
      </w:r>
      <w:r w:rsidRPr="00256085">
        <w:rPr>
          <w:rFonts w:ascii="Century" w:hAnsi="Century" w:cs="Century Becker Schoolbook"/>
          <w:sz w:val="28"/>
          <w:szCs w:val="28"/>
        </w:rPr>
        <w:t xml:space="preserve">t 303.  The Joint Committee then added: </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36"/>
          <w:type w:val="continuous"/>
          <w:pgSz w:w="12240" w:h="15840"/>
          <w:pgMar w:top="1440" w:right="153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 xml:space="preserve"> The Congress agrees with the previous court dec</w:t>
      </w:r>
      <w:r w:rsidRPr="00256085">
        <w:rPr>
          <w:rFonts w:ascii="Century" w:hAnsi="Century" w:cs="Century Becker Schoolbook"/>
          <w:sz w:val="28"/>
          <w:szCs w:val="28"/>
        </w:rPr>
        <w:t>isions that private rulings should be made public. Only in this way can all taxpayers be assured of access to the ruling positions of the IRS.</w:t>
      </w:r>
    </w:p>
    <w:p w:rsidR="00000000" w:rsidRPr="00256085" w:rsidRDefault="00AE1CCA">
      <w:pPr>
        <w:tabs>
          <w:tab w:val="left" w:pos="-899"/>
        </w:tabs>
        <w:rPr>
          <w:rFonts w:ascii="Century" w:hAnsi="Century" w:cs="Century Becker Schoolbook"/>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37"/>
          <w:type w:val="continuous"/>
          <w:pgSz w:w="12240" w:h="15840"/>
          <w:pgMar w:top="144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i/>
          <w:iCs/>
          <w:sz w:val="28"/>
          <w:szCs w:val="28"/>
        </w:rPr>
        <w:t>Id.</w:t>
      </w:r>
      <w:r w:rsidRPr="00256085">
        <w:rPr>
          <w:rFonts w:ascii="Century" w:hAnsi="Century" w:cs="Century Becker Schoolbook"/>
          <w:sz w:val="28"/>
          <w:szCs w:val="28"/>
        </w:rPr>
        <w:t xml:space="preserve"> at 304.</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38"/>
          <w:type w:val="continuous"/>
          <w:pgSz w:w="12240" w:h="15840"/>
          <w:pgMar w:top="1440" w:right="2160" w:bottom="900" w:left="144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lastRenderedPageBreak/>
        <w:tab/>
        <w:t xml:space="preserve">The 1976 Act struck the balance between disclosure vs. privacy by (1) amending I.R.C. § </w:t>
      </w:r>
      <w:r w:rsidRPr="00256085">
        <w:rPr>
          <w:rFonts w:ascii="Century" w:hAnsi="Century" w:cs="Century Becker Schoolbook"/>
          <w:sz w:val="28"/>
          <w:szCs w:val="28"/>
        </w:rPr>
        <w:t xml:space="preserve">6103 to provide more stringent privacy protections for “returns” and “return information” while (2) enacting a new I.R.C. § 6110, entitled </w:t>
      </w:r>
      <w:r w:rsidRPr="00256085">
        <w:rPr>
          <w:rFonts w:ascii="Century" w:hAnsi="Century" w:cs="Century Becker Schoolbook"/>
          <w:i/>
          <w:iCs/>
          <w:sz w:val="28"/>
          <w:szCs w:val="28"/>
        </w:rPr>
        <w:t>Public inspection of written determinations</w:t>
      </w:r>
      <w:r w:rsidRPr="00256085">
        <w:rPr>
          <w:rFonts w:ascii="Century" w:hAnsi="Century" w:cs="Century Becker Schoolbook"/>
          <w:sz w:val="28"/>
          <w:szCs w:val="28"/>
        </w:rPr>
        <w:t>.  This Code section 6110 mandated the disclosure of IRS private letter ru</w:t>
      </w:r>
      <w:r w:rsidRPr="00256085">
        <w:rPr>
          <w:rFonts w:ascii="Century" w:hAnsi="Century" w:cs="Century Becker Schoolbook"/>
          <w:sz w:val="28"/>
          <w:szCs w:val="28"/>
        </w:rPr>
        <w:t xml:space="preserve">lings and technical advice memoranda (the two types of guidance at issue in the cited litigation) and all other “written determinations” that the IRS may issue regarding the proper interpretation of federal tax </w:t>
      </w:r>
      <w:proofErr w:type="gramStart"/>
      <w:r w:rsidRPr="00256085">
        <w:rPr>
          <w:rFonts w:ascii="Century" w:hAnsi="Century" w:cs="Century Becker Schoolbook"/>
          <w:sz w:val="28"/>
          <w:szCs w:val="28"/>
        </w:rPr>
        <w:t>law.</w:t>
      </w:r>
      <w:r w:rsidRPr="00256085">
        <w:rPr>
          <w:rFonts w:ascii="Century" w:hAnsi="Century" w:cs="Times New Roman"/>
          <w:sz w:val="28"/>
          <w:szCs w:val="28"/>
          <w:vertAlign w:val="superscript"/>
        </w:rPr>
        <w:footnoteReference w:customMarkFollows="1" w:id="7"/>
        <w:t>7</w:t>
      </w:r>
      <w:r w:rsidRPr="00256085">
        <w:rPr>
          <w:rFonts w:ascii="Century" w:hAnsi="Century" w:cs="Century Becker Schoolbook"/>
          <w:sz w:val="28"/>
          <w:szCs w:val="28"/>
        </w:rPr>
        <w:t xml:space="preserve">  The</w:t>
      </w:r>
      <w:proofErr w:type="gramEnd"/>
      <w:r w:rsidRPr="00256085">
        <w:rPr>
          <w:rFonts w:ascii="Century" w:hAnsi="Century" w:cs="Century Becker Schoolbook"/>
          <w:sz w:val="28"/>
          <w:szCs w:val="28"/>
        </w:rPr>
        <w:t xml:space="preserve"> Joint Committee report explained that the goal of these provisions was to make public IRS’s written guidance with the text of those determinations–</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39"/>
          <w:type w:val="continuous"/>
          <w:pgSz w:w="12240" w:h="15840"/>
          <w:pgMar w:top="1440" w:right="144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 xml:space="preserve">. . . </w:t>
      </w:r>
      <w:proofErr w:type="gramStart"/>
      <w:r w:rsidRPr="00256085">
        <w:rPr>
          <w:rFonts w:ascii="Century" w:hAnsi="Century" w:cs="Century Becker Schoolbook"/>
          <w:sz w:val="28"/>
          <w:szCs w:val="28"/>
        </w:rPr>
        <w:t>sanitized</w:t>
      </w:r>
      <w:proofErr w:type="gramEnd"/>
      <w:r w:rsidRPr="00256085">
        <w:rPr>
          <w:rFonts w:ascii="Century" w:hAnsi="Century" w:cs="Century Becker Schoolbook"/>
          <w:sz w:val="28"/>
          <w:szCs w:val="28"/>
        </w:rPr>
        <w:t xml:space="preserve"> so that there are no identifying details, is to be made open to public  ins</w:t>
      </w:r>
      <w:r w:rsidRPr="00256085">
        <w:rPr>
          <w:rFonts w:ascii="Century" w:hAnsi="Century" w:cs="Century Becker Schoolbook"/>
          <w:sz w:val="28"/>
          <w:szCs w:val="28"/>
        </w:rPr>
        <w:t>pection.  Identifying details consist of names, addresses, and any</w:t>
      </w:r>
      <w:r w:rsidRPr="00256085">
        <w:rPr>
          <w:rFonts w:ascii="Century" w:hAnsi="Century" w:cs="Century Becker Schoolbook"/>
          <w:sz w:val="28"/>
          <w:szCs w:val="28"/>
        </w:rPr>
        <w:t xml:space="preserve"> other information which the Secretary determines could identify any </w:t>
      </w:r>
      <w:r w:rsidRPr="00256085">
        <w:rPr>
          <w:rFonts w:ascii="Century" w:hAnsi="Century" w:cs="Century Becker Schoolbook"/>
          <w:sz w:val="28"/>
          <w:szCs w:val="28"/>
        </w:rPr>
        <w:t>person, including the taxpayer's representative.</w:t>
      </w:r>
    </w:p>
    <w:p w:rsidR="00000000" w:rsidRPr="00256085" w:rsidRDefault="00AE1CCA">
      <w:pPr>
        <w:tabs>
          <w:tab w:val="left" w:pos="-899"/>
        </w:tabs>
        <w:rPr>
          <w:rFonts w:ascii="Century" w:hAnsi="Century" w:cs="Century Becker Schoolbook"/>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40"/>
          <w:type w:val="continuous"/>
          <w:pgSz w:w="12240" w:h="15840"/>
          <w:pgMar w:top="144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 xml:space="preserve">Joint Committee, </w:t>
      </w:r>
      <w:r w:rsidRPr="00256085">
        <w:rPr>
          <w:rFonts w:ascii="Century" w:hAnsi="Century" w:cs="Century Becker Schoolbook"/>
          <w:i/>
          <w:iCs/>
          <w:sz w:val="28"/>
          <w:szCs w:val="28"/>
        </w:rPr>
        <w:t>supra</w:t>
      </w:r>
      <w:r w:rsidRPr="00256085">
        <w:rPr>
          <w:rFonts w:ascii="Century" w:hAnsi="Century" w:cs="Century Becker Schoolbook"/>
          <w:sz w:val="28"/>
          <w:szCs w:val="28"/>
        </w:rPr>
        <w:t>, at 316).  See I.R.C. § 6110(c).</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lastRenderedPageBreak/>
        <w:tab/>
        <w:t>Why do we recount this history</w:t>
      </w:r>
      <w:r w:rsidRPr="00256085">
        <w:rPr>
          <w:rFonts w:ascii="Century" w:hAnsi="Century" w:cs="Century Becker Schoolbook"/>
          <w:sz w:val="28"/>
          <w:szCs w:val="28"/>
        </w:rPr>
        <w:t xml:space="preserve"> regarding the federal FOIA?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This Court has stated, the District’s FOIA is “modeled on the corresponding federal statute patterned on and construed in accordance with the federal” Act.  </w:t>
      </w:r>
      <w:r w:rsidRPr="00256085">
        <w:rPr>
          <w:rFonts w:ascii="Century" w:hAnsi="Century" w:cs="Century Becker Schoolbook"/>
          <w:i/>
          <w:iCs/>
          <w:sz w:val="28"/>
          <w:szCs w:val="28"/>
        </w:rPr>
        <w:t>Barry v. Washington Post Co.</w:t>
      </w:r>
      <w:r w:rsidRPr="00256085">
        <w:rPr>
          <w:rFonts w:ascii="Century" w:hAnsi="Century" w:cs="Century Becker Schoolbook"/>
          <w:sz w:val="28"/>
          <w:szCs w:val="28"/>
        </w:rPr>
        <w:t>, 529 A.2d at 321 (cited by the trial c</w:t>
      </w:r>
      <w:r w:rsidRPr="00256085">
        <w:rPr>
          <w:rFonts w:ascii="Century" w:hAnsi="Century" w:cs="Century Becker Schoolbook"/>
          <w:sz w:val="28"/>
          <w:szCs w:val="28"/>
        </w:rPr>
        <w:t>ourt at J.A. __).  The trial court cited this language (J.A. __), but reached a result that is the exact opposite of how federal courts have construed parallel provisions of federal law – court rulings that Congress affirmatively endorsed and even went one</w:t>
      </w:r>
      <w:r w:rsidRPr="00256085">
        <w:rPr>
          <w:rFonts w:ascii="Century" w:hAnsi="Century" w:cs="Century Becker Schoolbook"/>
          <w:sz w:val="28"/>
          <w:szCs w:val="28"/>
        </w:rPr>
        <w:t xml:space="preserve"> step further by mandating disclosure not just to IRS private letter rulings, but to a whole range of IRS “written determinations” with names and personal identifiers redacted.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Tax Analysts asks the Court to hold that Exemption 6 does not allow OTR to w</w:t>
      </w:r>
      <w:r w:rsidRPr="00256085">
        <w:rPr>
          <w:rFonts w:ascii="Century" w:hAnsi="Century" w:cs="Century Becker Schoolbook"/>
          <w:sz w:val="28"/>
          <w:szCs w:val="28"/>
        </w:rPr>
        <w:t xml:space="preserve">ithhold private letter rulings in their entirety, but requires disclosure of those rulings with names and identifiers redacted. </w:t>
      </w:r>
    </w:p>
    <w:p w:rsidR="00000000" w:rsidRPr="00256085" w:rsidRDefault="00AE1CCA">
      <w:pPr>
        <w:tabs>
          <w:tab w:val="left" w:pos="-179"/>
        </w:tabs>
        <w:ind w:left="720"/>
        <w:rPr>
          <w:rFonts w:ascii="Century" w:hAnsi="Century"/>
          <w:sz w:val="28"/>
          <w:szCs w:val="28"/>
        </w:rPr>
      </w:pPr>
      <w:r w:rsidRPr="00256085">
        <w:rPr>
          <w:rFonts w:ascii="Century" w:hAnsi="Century"/>
          <w:sz w:val="28"/>
          <w:szCs w:val="28"/>
        </w:rPr>
        <w:t xml:space="preserve">        2.  OTR has discretion to disclose redacted private</w:t>
      </w:r>
    </w:p>
    <w:p w:rsidR="00000000" w:rsidRPr="00256085" w:rsidRDefault="00AE1CCA">
      <w:pPr>
        <w:tabs>
          <w:tab w:val="left" w:pos="-179"/>
        </w:tabs>
        <w:ind w:left="720"/>
        <w:rPr>
          <w:rFonts w:ascii="Century" w:hAnsi="Century"/>
          <w:sz w:val="28"/>
          <w:szCs w:val="28"/>
          <w:u w:val="single"/>
        </w:rPr>
      </w:pPr>
      <w:r w:rsidRPr="00256085">
        <w:rPr>
          <w:rFonts w:ascii="Century" w:hAnsi="Century"/>
          <w:sz w:val="28"/>
          <w:szCs w:val="28"/>
        </w:rPr>
        <w:t xml:space="preserve">             </w:t>
      </w:r>
      <w:proofErr w:type="gramStart"/>
      <w:r w:rsidRPr="00256085">
        <w:rPr>
          <w:rFonts w:ascii="Century" w:hAnsi="Century"/>
          <w:sz w:val="28"/>
          <w:szCs w:val="28"/>
          <w:u w:val="single"/>
        </w:rPr>
        <w:t>letter</w:t>
      </w:r>
      <w:proofErr w:type="gramEnd"/>
      <w:r w:rsidRPr="00256085">
        <w:rPr>
          <w:rFonts w:ascii="Century" w:hAnsi="Century"/>
          <w:sz w:val="28"/>
          <w:szCs w:val="28"/>
          <w:u w:val="single"/>
        </w:rPr>
        <w:t xml:space="preserve"> rulings – and has done so previously.</w:t>
      </w:r>
    </w:p>
    <w:p w:rsidR="00000000" w:rsidRPr="00256085" w:rsidRDefault="00AE1CCA">
      <w:pPr>
        <w:tabs>
          <w:tab w:val="left" w:pos="-179"/>
        </w:tabs>
        <w:rPr>
          <w:rFonts w:ascii="Century" w:hAnsi="Century"/>
          <w:sz w:val="28"/>
          <w:szCs w:val="28"/>
          <w:u w:val="single"/>
        </w:r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Indepen</w:t>
      </w:r>
      <w:r w:rsidRPr="00256085">
        <w:rPr>
          <w:rFonts w:ascii="Century" w:hAnsi="Century" w:cs="Century Becker Schoolbook"/>
          <w:sz w:val="28"/>
          <w:szCs w:val="28"/>
        </w:rPr>
        <w:t>dently of the reasons cited above, there is an independent basis for rejecting OTR’s broad reading of D.C. Code § 47-4406.</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FOIA Exemption (6</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 xml:space="preserve">A), which the trial court found dispositive,  </w:t>
      </w:r>
      <w:r w:rsidRPr="00256085">
        <w:rPr>
          <w:rFonts w:ascii="Century" w:hAnsi="Century" w:cs="Century Becker Schoolbook"/>
          <w:sz w:val="28"/>
          <w:szCs w:val="28"/>
        </w:rPr>
        <w:lastRenderedPageBreak/>
        <w:t>allows the withholding of “[i]</w:t>
      </w:r>
      <w:proofErr w:type="spellStart"/>
      <w:r w:rsidRPr="00256085">
        <w:rPr>
          <w:rFonts w:ascii="Century" w:hAnsi="Century" w:cs="Century Becker Schoolbook"/>
          <w:sz w:val="28"/>
          <w:szCs w:val="28"/>
        </w:rPr>
        <w:t>nformation</w:t>
      </w:r>
      <w:proofErr w:type="spellEnd"/>
      <w:r w:rsidRPr="00256085">
        <w:rPr>
          <w:rFonts w:ascii="Century" w:hAnsi="Century" w:cs="Century Becker Schoolbook"/>
          <w:sz w:val="28"/>
          <w:szCs w:val="28"/>
        </w:rPr>
        <w:t xml:space="preserve">  specifically exempted fro</w:t>
      </w:r>
      <w:r w:rsidRPr="00256085">
        <w:rPr>
          <w:rFonts w:ascii="Century" w:hAnsi="Century" w:cs="Century Becker Schoolbook"/>
          <w:sz w:val="28"/>
          <w:szCs w:val="28"/>
        </w:rPr>
        <w:t xml:space="preserve">m disclosure by statute (other than this section), provided that such statute:  (A) Requires that the matters be withheld from the public in such a manner as to leave no discretion on the issue.”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As noted above, the record reveals clearly that OTR can –</w:t>
      </w:r>
      <w:r w:rsidRPr="00256085">
        <w:rPr>
          <w:rFonts w:ascii="Century" w:hAnsi="Century" w:cs="Century Becker Schoolbook"/>
          <w:sz w:val="28"/>
          <w:szCs w:val="28"/>
        </w:rPr>
        <w:t xml:space="preserve"> and has – exercised its “discretion” to disclose the contents of private letter rulings with redactions of names and identifiers.  Indeed, an OTR official candidly admitted as much to Tax Analysts several years ago (Pl. Ex. 10):</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41"/>
          <w:type w:val="continuous"/>
          <w:pgSz w:w="12240" w:h="15840"/>
          <w:pgMar w:top="1440" w:right="144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 xml:space="preserve">“We sometimes convert PLRs to Notices which are then published on our website under ‘Law &amp; </w:t>
      </w:r>
      <w:r w:rsidRPr="00256085">
        <w:rPr>
          <w:rFonts w:ascii="Century" w:hAnsi="Century" w:cs="Century Becker Schoolbook"/>
          <w:sz w:val="28"/>
          <w:szCs w:val="28"/>
        </w:rPr>
        <w:t>Guidance’” [the latter web page reproduced here as J.A. __]</w:t>
      </w:r>
    </w:p>
    <w:p w:rsidR="00000000" w:rsidRPr="00256085" w:rsidRDefault="00AE1CCA">
      <w:pPr>
        <w:tabs>
          <w:tab w:val="left" w:pos="-899"/>
        </w:tabs>
        <w:rPr>
          <w:rFonts w:ascii="Century" w:hAnsi="Century" w:cs="Century Becker Schoolbook"/>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42"/>
          <w:type w:val="continuous"/>
          <w:pgSz w:w="12240" w:h="15840"/>
          <w:pgMar w:top="144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OTR’s public notices and </w:t>
      </w:r>
      <w:r w:rsidRPr="00256085">
        <w:rPr>
          <w:rFonts w:ascii="Century" w:hAnsi="Century" w:cs="Century Becker Schoolbook"/>
          <w:sz w:val="28"/>
          <w:szCs w:val="28"/>
        </w:rPr>
        <w:t>rulings appear to redact only names and potential identifiers, thus undercutting OTR’s claim that the exempt portions of a private letter ruling are “inextricably intertwined” with the non-exempt portions, so much so that attempting to redact exempt inform</w:t>
      </w:r>
      <w:r w:rsidRPr="00256085">
        <w:rPr>
          <w:rFonts w:ascii="Century" w:hAnsi="Century" w:cs="Century Becker Schoolbook"/>
          <w:sz w:val="28"/>
          <w:szCs w:val="28"/>
        </w:rPr>
        <w:t xml:space="preserve">ation would produce a “useless” document.  Pl. Ex. 4, p. 2.  For example, Plaintiffs’ Exhibit 9, an OTR “General Counsel Memorandum,” </w:t>
      </w:r>
      <w:r w:rsidRPr="00256085">
        <w:rPr>
          <w:rFonts w:ascii="Century" w:hAnsi="Century" w:cs="Century Becker Schoolbook"/>
          <w:color w:val="333333"/>
          <w:sz w:val="28"/>
          <w:szCs w:val="28"/>
        </w:rPr>
        <w:t xml:space="preserve">states that it was “originally issued as a private letter </w:t>
      </w:r>
      <w:r w:rsidRPr="00256085">
        <w:rPr>
          <w:rFonts w:ascii="Century" w:hAnsi="Century" w:cs="Century Becker Schoolbook"/>
          <w:color w:val="333333"/>
          <w:sz w:val="28"/>
          <w:szCs w:val="28"/>
        </w:rPr>
        <w:lastRenderedPageBreak/>
        <w:t>ruling.”  This memorandum addresses liability for certain fees a</w:t>
      </w:r>
      <w:r w:rsidRPr="00256085">
        <w:rPr>
          <w:rFonts w:ascii="Century" w:hAnsi="Century" w:cs="Century Becker Schoolbook"/>
          <w:color w:val="333333"/>
          <w:sz w:val="28"/>
          <w:szCs w:val="28"/>
        </w:rPr>
        <w:t xml:space="preserve">s between an unnamed hotel and an unnamed client.  The memorandum refers to these parties as “HOTEL” or “CLIENT” and contains statements such as “Convention CLIENT entered into a contract with HOTEL for the reservation of </w:t>
      </w:r>
      <w:r w:rsidRPr="00256085">
        <w:rPr>
          <w:rFonts w:ascii="Century" w:hAnsi="Century" w:cs="Century Becker Schoolbook"/>
          <w:b/>
          <w:bCs/>
          <w:color w:val="333333"/>
          <w:sz w:val="28"/>
          <w:szCs w:val="28"/>
        </w:rPr>
        <w:t>X</w:t>
      </w:r>
      <w:r w:rsidRPr="00256085">
        <w:rPr>
          <w:rFonts w:ascii="Century" w:hAnsi="Century" w:cs="Century Becker Schoolbook"/>
          <w:color w:val="333333"/>
          <w:sz w:val="28"/>
          <w:szCs w:val="28"/>
        </w:rPr>
        <w:t xml:space="preserve"> number of rooms for </w:t>
      </w:r>
      <w:r w:rsidRPr="00256085">
        <w:rPr>
          <w:rFonts w:ascii="Century" w:hAnsi="Century" w:cs="Century Becker Schoolbook"/>
          <w:b/>
          <w:bCs/>
          <w:color w:val="333333"/>
          <w:sz w:val="28"/>
          <w:szCs w:val="28"/>
        </w:rPr>
        <w:t>Y</w:t>
      </w:r>
      <w:r w:rsidRPr="00256085">
        <w:rPr>
          <w:rFonts w:ascii="Century" w:hAnsi="Century" w:cs="Century Becker Schoolbook"/>
          <w:color w:val="333333"/>
          <w:sz w:val="28"/>
          <w:szCs w:val="28"/>
        </w:rPr>
        <w:t xml:space="preserve"> number of days in the month of </w:t>
      </w:r>
      <w:r w:rsidRPr="00256085">
        <w:rPr>
          <w:rFonts w:ascii="Century" w:hAnsi="Century" w:cs="Century Becker Schoolbook"/>
          <w:b/>
          <w:bCs/>
          <w:color w:val="333333"/>
          <w:sz w:val="28"/>
          <w:szCs w:val="28"/>
        </w:rPr>
        <w:t>Z</w:t>
      </w:r>
      <w:r w:rsidRPr="00256085">
        <w:rPr>
          <w:rFonts w:ascii="Century" w:hAnsi="Century" w:cs="Century Becker Schoolbook"/>
          <w:color w:val="333333"/>
          <w:sz w:val="28"/>
          <w:szCs w:val="28"/>
        </w:rPr>
        <w:t>.</w:t>
      </w:r>
      <w:r w:rsidRPr="00256085">
        <w:rPr>
          <w:rFonts w:ascii="Century" w:hAnsi="Century" w:cs="Century Becker Schoolbook"/>
          <w:sz w:val="28"/>
          <w:szCs w:val="28"/>
        </w:rPr>
        <w:t>”  If this example is any indication, OTR knows full well how to redact identifiers and to issue rulings that protect taxpayer privacy while still providing significant guidance to taxpayers.</w:t>
      </w:r>
    </w:p>
    <w:p w:rsidR="00000000" w:rsidRPr="00256085" w:rsidRDefault="00AE1CCA">
      <w:pPr>
        <w:tabs>
          <w:tab w:val="left" w:pos="-179"/>
        </w:tabs>
        <w:spacing w:line="480" w:lineRule="auto"/>
        <w:rPr>
          <w:rFonts w:ascii="Century" w:hAnsi="Century" w:cs="Times New Roman"/>
          <w:sz w:val="28"/>
          <w:szCs w:val="28"/>
        </w:rPr>
      </w:pPr>
      <w:r w:rsidRPr="00256085">
        <w:rPr>
          <w:rFonts w:ascii="Century" w:hAnsi="Century" w:cs="Century Becker Schoolbook"/>
          <w:sz w:val="28"/>
          <w:szCs w:val="28"/>
        </w:rPr>
        <w:tab/>
        <w:t xml:space="preserve">Moreover, OTR allows </w:t>
      </w:r>
      <w:r w:rsidRPr="00256085">
        <w:rPr>
          <w:rFonts w:ascii="Century" w:hAnsi="Century" w:cs="Century Becker Schoolbook"/>
          <w:color w:val="333333"/>
          <w:sz w:val="28"/>
          <w:szCs w:val="28"/>
        </w:rPr>
        <w:t>taxpayer</w:t>
      </w:r>
      <w:r w:rsidRPr="00256085">
        <w:rPr>
          <w:rFonts w:ascii="Century" w:hAnsi="Century" w:cs="Century Becker Schoolbook"/>
          <w:color w:val="333333"/>
          <w:sz w:val="28"/>
          <w:szCs w:val="28"/>
        </w:rPr>
        <w:t>s to request and obtain “declaratory orders” that opine on the tax treatment of certain events or transactions in much the same way as private letter rulings.  As with PLRs, these orders omit or redact the name of the petitioner/taxpayer, and they are deem</w:t>
      </w:r>
      <w:r w:rsidRPr="00256085">
        <w:rPr>
          <w:rFonts w:ascii="Century" w:hAnsi="Century" w:cs="Century Becker Schoolbook"/>
          <w:color w:val="333333"/>
          <w:sz w:val="28"/>
          <w:szCs w:val="28"/>
        </w:rPr>
        <w:t>ed binding on OTR as to the requesting taxpayer.  As with PLRs, the format includes the issues presented, the pertinent facts and the legal analysis of the issue.  Unlike PLRs, however, declaratory orders are posted on the OTR website</w:t>
      </w:r>
      <w:r w:rsidRPr="00256085">
        <w:rPr>
          <w:rFonts w:ascii="Century" w:hAnsi="Century" w:cs="Century Becker Schoolbook"/>
          <w:sz w:val="28"/>
          <w:szCs w:val="28"/>
        </w:rPr>
        <w:t>.  Davis Decl. ¶ 19; P</w:t>
      </w:r>
      <w:r w:rsidRPr="00256085">
        <w:rPr>
          <w:rFonts w:ascii="Century" w:hAnsi="Century" w:cs="Century Becker Schoolbook"/>
          <w:sz w:val="28"/>
          <w:szCs w:val="28"/>
        </w:rPr>
        <w:t xml:space="preserve">l. Ex. 11.  Private letter rulings and declaratory orders are similar in format and substance, and OTR offers no explanation on its website as </w:t>
      </w:r>
      <w:r w:rsidRPr="00256085">
        <w:rPr>
          <w:rFonts w:ascii="Century" w:hAnsi="Century" w:cs="Century Becker Schoolbook"/>
          <w:sz w:val="28"/>
          <w:szCs w:val="28"/>
        </w:rPr>
        <w:lastRenderedPageBreak/>
        <w:t>to why the former is kept secret while the latter is made public.</w:t>
      </w:r>
      <w:r w:rsidRPr="00256085">
        <w:rPr>
          <w:rFonts w:ascii="Century" w:hAnsi="Century" w:cs="Times New Roman"/>
          <w:sz w:val="28"/>
          <w:szCs w:val="28"/>
          <w:vertAlign w:val="superscript"/>
        </w:rPr>
        <w:footnoteReference w:customMarkFollows="1" w:id="8"/>
        <w:t>8</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Times New Roman"/>
          <w:sz w:val="28"/>
          <w:szCs w:val="28"/>
        </w:rPr>
        <w:tab/>
      </w:r>
      <w:r w:rsidRPr="00256085">
        <w:rPr>
          <w:rFonts w:ascii="Century" w:hAnsi="Century" w:cs="Century Becker Schoolbook"/>
          <w:sz w:val="28"/>
          <w:szCs w:val="28"/>
        </w:rPr>
        <w:t xml:space="preserve">Accordingly, for these reasons, Tax Analysts submits that </w:t>
      </w:r>
      <w:r w:rsidRPr="00256085">
        <w:rPr>
          <w:rFonts w:ascii="Century" w:hAnsi="Century" w:cs="Century Becker Schoolbook"/>
          <w:sz w:val="28"/>
          <w:szCs w:val="28"/>
        </w:rPr>
        <w:t>Exemption 1 does not allow OTR to withhold private letter rulings in their entirety.</w:t>
      </w:r>
    </w:p>
    <w:p w:rsidR="00000000" w:rsidRPr="00256085" w:rsidRDefault="00AE1CCA">
      <w:pPr>
        <w:tabs>
          <w:tab w:val="left" w:pos="-179"/>
        </w:tabs>
        <w:rPr>
          <w:rFonts w:ascii="Century" w:hAnsi="Century" w:cs="Century Becker Schoolbook"/>
          <w:sz w:val="28"/>
          <w:szCs w:val="28"/>
          <w:u w:val="single"/>
        </w:rPr>
      </w:pPr>
      <w:r w:rsidRPr="00256085">
        <w:rPr>
          <w:rFonts w:ascii="Century" w:hAnsi="Century" w:cs="Century Becker Schoolbook"/>
          <w:sz w:val="28"/>
          <w:szCs w:val="28"/>
        </w:rPr>
        <w:tab/>
        <w:t>C.  The trial court erred in granting summary judgment</w:t>
      </w:r>
    </w:p>
    <w:p w:rsidR="00000000" w:rsidRPr="00256085" w:rsidRDefault="00AE1CCA">
      <w:pPr>
        <w:tabs>
          <w:tab w:val="left" w:pos="-179"/>
        </w:tabs>
        <w:ind w:left="720"/>
        <w:rPr>
          <w:rFonts w:ascii="Century" w:hAnsi="Century" w:cs="Century Becker Schoolbook"/>
          <w:sz w:val="28"/>
          <w:szCs w:val="28"/>
          <w:u w:val="single"/>
        </w:rPr>
      </w:pPr>
      <w:r w:rsidRPr="00256085">
        <w:rPr>
          <w:rFonts w:ascii="Century" w:hAnsi="Century" w:cs="Century Becker Schoolbook"/>
          <w:sz w:val="28"/>
          <w:szCs w:val="28"/>
        </w:rPr>
        <w:t xml:space="preserve">      </w:t>
      </w:r>
      <w:proofErr w:type="gramStart"/>
      <w:r w:rsidRPr="00256085">
        <w:rPr>
          <w:rFonts w:ascii="Century" w:hAnsi="Century" w:cs="Century Becker Schoolbook"/>
          <w:sz w:val="28"/>
          <w:szCs w:val="28"/>
          <w:u w:val="single"/>
        </w:rPr>
        <w:t>without</w:t>
      </w:r>
      <w:proofErr w:type="gramEnd"/>
      <w:r w:rsidRPr="00256085">
        <w:rPr>
          <w:rFonts w:ascii="Century" w:hAnsi="Century" w:cs="Century Becker Schoolbook"/>
          <w:sz w:val="28"/>
          <w:szCs w:val="28"/>
          <w:u w:val="single"/>
        </w:rPr>
        <w:t xml:space="preserve"> first conducting an </w:t>
      </w:r>
      <w:r w:rsidRPr="00256085">
        <w:rPr>
          <w:rFonts w:ascii="Century" w:hAnsi="Century" w:cs="Century Becker Schoolbook"/>
          <w:i/>
          <w:iCs/>
          <w:sz w:val="28"/>
          <w:szCs w:val="28"/>
          <w:u w:val="single"/>
        </w:rPr>
        <w:t>in camera</w:t>
      </w:r>
      <w:r w:rsidRPr="00256085">
        <w:rPr>
          <w:rFonts w:ascii="Century" w:hAnsi="Century" w:cs="Century Becker Schoolbook"/>
          <w:sz w:val="28"/>
          <w:szCs w:val="28"/>
          <w:u w:val="single"/>
        </w:rPr>
        <w:t xml:space="preserve"> review.</w:t>
      </w:r>
    </w:p>
    <w:p w:rsidR="00000000" w:rsidRPr="00256085" w:rsidRDefault="00AE1CCA">
      <w:pPr>
        <w:tabs>
          <w:tab w:val="left" w:pos="-179"/>
        </w:tabs>
        <w:rPr>
          <w:rFonts w:ascii="Century" w:hAnsi="Century" w:cs="Century Becker Schoolbook"/>
          <w:sz w:val="28"/>
          <w:szCs w:val="28"/>
          <w:u w:val="single"/>
        </w:r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Times New Roman"/>
          <w:sz w:val="28"/>
          <w:szCs w:val="28"/>
        </w:rPr>
        <w:tab/>
      </w:r>
      <w:r w:rsidRPr="00256085">
        <w:rPr>
          <w:rFonts w:ascii="Century" w:hAnsi="Century" w:cs="Century Becker Schoolbook"/>
          <w:sz w:val="28"/>
          <w:szCs w:val="28"/>
        </w:rPr>
        <w:t>It is axiomatic that summary judgment must be denied if there</w:t>
      </w:r>
      <w:r w:rsidRPr="00256085">
        <w:rPr>
          <w:rFonts w:ascii="Century" w:hAnsi="Century" w:cs="Century Becker Schoolbook"/>
          <w:sz w:val="28"/>
          <w:szCs w:val="28"/>
        </w:rPr>
        <w:t xml:space="preserve"> is “a genuine dispute as to any material fact.”  Super. Ct. Civ. R. 56(a).  Here, the trial court granted OTR’s motion for summary judgment, even though there is a genuine dispute about whether the private letter rulings contain non-exempt portions that a</w:t>
      </w:r>
      <w:r w:rsidRPr="00256085">
        <w:rPr>
          <w:rFonts w:ascii="Century" w:hAnsi="Century" w:cs="Century Becker Schoolbook"/>
          <w:sz w:val="28"/>
          <w:szCs w:val="28"/>
        </w:rPr>
        <w:t xml:space="preserve">re “reasonably segregable” from any exempt portions and therefore must be produced to Tax Analysts.  D.C. Code § 2-534(b).  Given that conflict, the trial court should have denied summary judgment and instead granted Tax </w:t>
      </w:r>
      <w:r w:rsidRPr="00256085">
        <w:rPr>
          <w:rFonts w:ascii="Century" w:hAnsi="Century" w:cs="Century Becker Schoolbook"/>
          <w:sz w:val="28"/>
          <w:szCs w:val="28"/>
        </w:rPr>
        <w:lastRenderedPageBreak/>
        <w:t xml:space="preserve">Analysts’ consent motion to review </w:t>
      </w:r>
      <w:r w:rsidRPr="00256085">
        <w:rPr>
          <w:rFonts w:ascii="Century" w:hAnsi="Century" w:cs="Century Becker Schoolbook"/>
          <w:sz w:val="28"/>
          <w:szCs w:val="28"/>
        </w:rPr>
        <w:t xml:space="preserve">the letter rulings </w:t>
      </w:r>
      <w:r w:rsidRPr="00256085">
        <w:rPr>
          <w:rFonts w:ascii="Century" w:hAnsi="Century" w:cs="Century Becker Schoolbook"/>
          <w:i/>
          <w:iCs/>
          <w:sz w:val="28"/>
          <w:szCs w:val="28"/>
        </w:rPr>
        <w:t>in camera</w:t>
      </w:r>
      <w:r w:rsidRPr="00256085">
        <w:rPr>
          <w:rFonts w:ascii="Century" w:hAnsi="Century" w:cs="Century Becker Schoolbook"/>
          <w:sz w:val="28"/>
          <w:szCs w:val="28"/>
        </w:rPr>
        <w:t xml:space="preserve"> </w:t>
      </w:r>
      <w:r w:rsidRPr="00256085">
        <w:rPr>
          <w:rFonts w:ascii="Century" w:hAnsi="Century" w:cs="Century Becker Schoolbook"/>
          <w:sz w:val="28"/>
          <w:szCs w:val="28"/>
        </w:rPr>
        <w:t xml:space="preserve">in order to resolve the segregability issue.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The record plainly supports the need for such an </w:t>
      </w:r>
      <w:r w:rsidRPr="00256085">
        <w:rPr>
          <w:rFonts w:ascii="Century" w:hAnsi="Century" w:cs="Century Becker Schoolbook"/>
          <w:i/>
          <w:iCs/>
          <w:sz w:val="28"/>
          <w:szCs w:val="28"/>
        </w:rPr>
        <w:t xml:space="preserve">in camera </w:t>
      </w:r>
      <w:r w:rsidRPr="00256085">
        <w:rPr>
          <w:rFonts w:ascii="Century" w:hAnsi="Century" w:cs="Century Becker Schoolbook"/>
          <w:sz w:val="28"/>
          <w:szCs w:val="28"/>
        </w:rPr>
        <w:t xml:space="preserve">review.  OTR did not file any affidavits on segregability, and its </w:t>
      </w:r>
      <w:r w:rsidRPr="00256085">
        <w:rPr>
          <w:rFonts w:ascii="Century" w:hAnsi="Century" w:cs="Century Becker Schoolbook"/>
          <w:i/>
          <w:iCs/>
          <w:sz w:val="28"/>
          <w:szCs w:val="28"/>
        </w:rPr>
        <w:t xml:space="preserve">Vaughn </w:t>
      </w:r>
      <w:r w:rsidRPr="00256085">
        <w:rPr>
          <w:rFonts w:ascii="Century" w:hAnsi="Century" w:cs="Century Becker Schoolbook"/>
          <w:sz w:val="28"/>
          <w:szCs w:val="28"/>
        </w:rPr>
        <w:t>index simply asserted (without supporting deta</w:t>
      </w:r>
      <w:r w:rsidRPr="00256085">
        <w:rPr>
          <w:rFonts w:ascii="Century" w:hAnsi="Century" w:cs="Century Becker Schoolbook"/>
          <w:sz w:val="28"/>
          <w:szCs w:val="28"/>
        </w:rPr>
        <w:t xml:space="preserve">ils) </w:t>
      </w:r>
      <w:r w:rsidRPr="00256085">
        <w:rPr>
          <w:rFonts w:ascii="Century" w:hAnsi="Century" w:cs="Century Becker Schoolbook"/>
          <w:sz w:val="28"/>
          <w:szCs w:val="28"/>
        </w:rPr>
        <w:t xml:space="preserve">that each letter ruling was exempt in its entirety.  Significantly, OTR never disputed that these letter rulings contain non-exempt portions; instead, OTR </w:t>
      </w:r>
      <w:r w:rsidRPr="00256085">
        <w:rPr>
          <w:rFonts w:ascii="Century" w:hAnsi="Century" w:cs="Century Becker Schoolbook"/>
          <w:sz w:val="28"/>
          <w:szCs w:val="28"/>
        </w:rPr>
        <w:t>argued that any non-exempt portions were so “inextricably intertwined” with the exempt portion</w:t>
      </w:r>
      <w:r w:rsidRPr="00256085">
        <w:rPr>
          <w:rFonts w:ascii="Century" w:hAnsi="Century" w:cs="Century Becker Schoolbook"/>
          <w:sz w:val="28"/>
          <w:szCs w:val="28"/>
        </w:rPr>
        <w:t xml:space="preserve">s that redaction would produce a document having “little or no informational value,” relying upon </w:t>
      </w:r>
      <w:r w:rsidRPr="00256085">
        <w:rPr>
          <w:rFonts w:ascii="Century" w:hAnsi="Century" w:cs="Century Becker Schoolbook"/>
          <w:i/>
          <w:iCs/>
          <w:sz w:val="28"/>
          <w:szCs w:val="28"/>
        </w:rPr>
        <w:t>Mays v. Drug Enforcement Admin.</w:t>
      </w:r>
      <w:r w:rsidRPr="00256085">
        <w:rPr>
          <w:rFonts w:ascii="Century" w:hAnsi="Century" w:cs="Century Becker Schoolbook"/>
          <w:sz w:val="28"/>
          <w:szCs w:val="28"/>
        </w:rPr>
        <w:t xml:space="preserve">, 234 F.3d 1324, 1327 (D.C. Cir.2000), and </w:t>
      </w:r>
      <w:r w:rsidRPr="00256085">
        <w:rPr>
          <w:rFonts w:ascii="Century" w:hAnsi="Century" w:cs="Century Becker Schoolbook"/>
          <w:i/>
          <w:iCs/>
          <w:sz w:val="28"/>
          <w:szCs w:val="28"/>
        </w:rPr>
        <w:t>Neufeld v. IRS</w:t>
      </w:r>
      <w:r w:rsidRPr="00256085">
        <w:rPr>
          <w:rFonts w:ascii="Century" w:hAnsi="Century" w:cs="Century Becker Schoolbook"/>
          <w:sz w:val="28"/>
          <w:szCs w:val="28"/>
        </w:rPr>
        <w:t xml:space="preserve">, 646 F.2d 661, 666 (D.C. Cir. 1981).  Ex. P 24 (SJ memo pp 9- 10).  </w:t>
      </w:r>
      <w:r w:rsidRPr="00256085">
        <w:rPr>
          <w:rFonts w:ascii="Century" w:hAnsi="Century" w:cs="Century Becker Schoolbook"/>
          <w:sz w:val="28"/>
          <w:szCs w:val="28"/>
        </w:rPr>
        <w:tab/>
      </w:r>
      <w:r w:rsidRPr="00256085">
        <w:rPr>
          <w:rFonts w:ascii="Century" w:hAnsi="Century" w:cs="Century Becker Schoolbook"/>
          <w:sz w:val="28"/>
          <w:szCs w:val="28"/>
        </w:rPr>
        <w:t>To rebut this claim, Tax Analysts provided an affidavit from appellant Aaron Davis, who stated – without contradiction – that OTR can and does publish redacted versions of letter rulings and other forms of taxpayer guidance (J.A. __-__).  This evidence inc</w:t>
      </w:r>
      <w:r>
        <w:rPr>
          <w:rFonts w:ascii="Century" w:hAnsi="Century" w:cs="Century Becker Schoolbook"/>
          <w:sz w:val="28"/>
          <w:szCs w:val="28"/>
        </w:rPr>
        <w:t>luded a</w:t>
      </w:r>
      <w:r w:rsidRPr="00256085">
        <w:rPr>
          <w:rFonts w:ascii="Century" w:hAnsi="Century" w:cs="Century Becker Schoolbook"/>
          <w:sz w:val="28"/>
          <w:szCs w:val="28"/>
        </w:rPr>
        <w:t xml:space="preserve"> statement from OTR that–</w:t>
      </w:r>
    </w:p>
    <w:p w:rsidR="00000000" w:rsidRPr="00256085" w:rsidRDefault="00AE1CCA">
      <w:pPr>
        <w:tabs>
          <w:tab w:val="left" w:pos="-179"/>
        </w:tabs>
        <w:spacing w:line="480" w:lineRule="auto"/>
        <w:rPr>
          <w:rFonts w:ascii="Century" w:hAnsi="Century"/>
          <w:sz w:val="28"/>
          <w:szCs w:val="28"/>
        </w:rPr>
        <w:sectPr w:rsidR="00000000" w:rsidRPr="00256085">
          <w:footerReference w:type="default" r:id="rId43"/>
          <w:type w:val="continuous"/>
          <w:pgSz w:w="12240" w:h="15840"/>
          <w:pgMar w:top="1440" w:right="1440" w:bottom="900" w:left="1440" w:header="1440" w:footer="1440" w:gutter="0"/>
          <w:cols w:space="720"/>
          <w:noEndnote/>
        </w:sectPr>
      </w:pPr>
    </w:p>
    <w:p w:rsidR="00000000" w:rsidRPr="00256085" w:rsidRDefault="00AE1CCA">
      <w:pPr>
        <w:tabs>
          <w:tab w:val="left" w:pos="-899"/>
        </w:tabs>
        <w:rPr>
          <w:rFonts w:ascii="Century" w:hAnsi="Century" w:cs="Century Becker Schoolbook"/>
          <w:sz w:val="28"/>
          <w:szCs w:val="28"/>
        </w:rPr>
      </w:pPr>
      <w:r w:rsidRPr="00256085">
        <w:rPr>
          <w:rFonts w:ascii="Century" w:hAnsi="Century" w:cs="Century Becker Schoolbook"/>
          <w:sz w:val="28"/>
          <w:szCs w:val="28"/>
        </w:rPr>
        <w:t>“We sometimes convert PLRs to Notices which are then publ</w:t>
      </w:r>
      <w:r w:rsidRPr="00256085">
        <w:rPr>
          <w:rFonts w:ascii="Century" w:hAnsi="Century" w:cs="Century Becker Schoolbook"/>
          <w:sz w:val="28"/>
          <w:szCs w:val="28"/>
        </w:rPr>
        <w:t>ished on our website under ‘Law &amp; Guidance.’”</w:t>
      </w:r>
    </w:p>
    <w:p w:rsidR="00000000" w:rsidRPr="00256085" w:rsidRDefault="00AE1CCA">
      <w:pPr>
        <w:tabs>
          <w:tab w:val="left" w:pos="-899"/>
        </w:tabs>
        <w:rPr>
          <w:rFonts w:ascii="Century" w:hAnsi="Century" w:cs="Century Becker Schoolbook"/>
          <w:sz w:val="28"/>
          <w:szCs w:val="28"/>
        </w:rPr>
      </w:pPr>
    </w:p>
    <w:p w:rsidR="00000000" w:rsidRPr="00256085" w:rsidRDefault="00AE1CCA">
      <w:pPr>
        <w:tabs>
          <w:tab w:val="left" w:pos="-899"/>
        </w:tabs>
        <w:rPr>
          <w:rFonts w:ascii="Century" w:hAnsi="Century"/>
          <w:sz w:val="28"/>
          <w:szCs w:val="28"/>
        </w:rPr>
        <w:sectPr w:rsidR="00000000" w:rsidRPr="00256085">
          <w:footerReference w:type="default" r:id="rId44"/>
          <w:type w:val="continuous"/>
          <w:pgSz w:w="12240" w:h="15840"/>
          <w:pgMar w:top="1440" w:right="2160" w:bottom="900" w:left="2160" w:header="1440" w:footer="1440" w:gutter="0"/>
          <w:cols w:space="720"/>
          <w:noEndnote/>
        </w:sectPr>
      </w:pP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(J.A. __, referring to J.A. __).  Mr. Da</w:t>
      </w:r>
      <w:r w:rsidRPr="00256085">
        <w:rPr>
          <w:rFonts w:ascii="Century" w:hAnsi="Century" w:cs="Century Becker Schoolbook"/>
          <w:sz w:val="28"/>
          <w:szCs w:val="28"/>
        </w:rPr>
        <w:t xml:space="preserve">vis also submitted examples of such published guidance, which indicate that redacting a taxpayer’s name and other identifiers can be accomplished while leaving 95 percent of the ruling intact and thus able to provide useful guidance to taxpayers about how </w:t>
      </w:r>
      <w:r w:rsidRPr="00256085">
        <w:rPr>
          <w:rFonts w:ascii="Century" w:hAnsi="Century" w:cs="Century Becker Schoolbook"/>
          <w:sz w:val="28"/>
          <w:szCs w:val="28"/>
        </w:rPr>
        <w:t>OTR is construing the District’s tax laws (J.A. __).</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i/>
          <w:iCs/>
          <w:sz w:val="28"/>
          <w:szCs w:val="28"/>
        </w:rPr>
        <w:t>In camera</w:t>
      </w:r>
      <w:r w:rsidRPr="00256085">
        <w:rPr>
          <w:rFonts w:ascii="Century" w:hAnsi="Century" w:cs="Century Becker Schoolbook"/>
          <w:sz w:val="28"/>
          <w:szCs w:val="28"/>
        </w:rPr>
        <w:t xml:space="preserve"> review is the obvious way to resolve this issue.  As this Court has explained, </w:t>
      </w:r>
      <w:r w:rsidRPr="00256085">
        <w:rPr>
          <w:rFonts w:ascii="Century" w:hAnsi="Century" w:cs="Century Becker Schoolbook"/>
          <w:i/>
          <w:iCs/>
          <w:sz w:val="28"/>
          <w:szCs w:val="28"/>
        </w:rPr>
        <w:t xml:space="preserve">in camera </w:t>
      </w:r>
      <w:r w:rsidRPr="00256085">
        <w:rPr>
          <w:rFonts w:ascii="Century" w:hAnsi="Century" w:cs="Century Becker Schoolbook"/>
          <w:sz w:val="28"/>
          <w:szCs w:val="28"/>
        </w:rPr>
        <w:t xml:space="preserve">review allows a court to conduct the sort of </w:t>
      </w:r>
      <w:r w:rsidRPr="00256085">
        <w:rPr>
          <w:rFonts w:ascii="Century" w:hAnsi="Century" w:cs="Century Becker Schoolbook"/>
          <w:i/>
          <w:iCs/>
          <w:sz w:val="28"/>
          <w:szCs w:val="28"/>
        </w:rPr>
        <w:t>de novo</w:t>
      </w:r>
      <w:r w:rsidRPr="00256085">
        <w:rPr>
          <w:rFonts w:ascii="Century" w:hAnsi="Century" w:cs="Century Becker Schoolbook"/>
          <w:sz w:val="28"/>
          <w:szCs w:val="28"/>
        </w:rPr>
        <w:t xml:space="preserve"> review required by the FOIA, thus </w:t>
      </w:r>
      <w:proofErr w:type="gramStart"/>
      <w:r w:rsidRPr="00256085">
        <w:rPr>
          <w:rFonts w:ascii="Century" w:hAnsi="Century" w:cs="Century Becker Schoolbook"/>
          <w:sz w:val="28"/>
          <w:szCs w:val="28"/>
        </w:rPr>
        <w:t>enabling  “</w:t>
      </w:r>
      <w:proofErr w:type="gramEnd"/>
      <w:r w:rsidRPr="00256085">
        <w:rPr>
          <w:rFonts w:ascii="Century" w:hAnsi="Century" w:cs="Century Becker Schoolbook"/>
          <w:sz w:val="28"/>
          <w:szCs w:val="28"/>
        </w:rPr>
        <w:t xml:space="preserve">the court – not the agency – to be the final arbiter of the propriety of the agency's decision to withhold information.”  </w:t>
      </w:r>
      <w:r w:rsidRPr="00256085">
        <w:rPr>
          <w:rFonts w:ascii="Century" w:hAnsi="Century" w:cs="Century Becker Schoolbook"/>
          <w:i/>
          <w:iCs/>
          <w:sz w:val="28"/>
          <w:szCs w:val="28"/>
        </w:rPr>
        <w:t xml:space="preserve">Riley v. </w:t>
      </w:r>
      <w:proofErr w:type="spellStart"/>
      <w:r w:rsidRPr="00256085">
        <w:rPr>
          <w:rFonts w:ascii="Century" w:hAnsi="Century" w:cs="Century Becker Schoolbook"/>
          <w:i/>
          <w:iCs/>
          <w:sz w:val="28"/>
          <w:szCs w:val="28"/>
        </w:rPr>
        <w:t>Fenty</w:t>
      </w:r>
      <w:proofErr w:type="spellEnd"/>
      <w:r w:rsidRPr="00256085">
        <w:rPr>
          <w:rFonts w:ascii="Century" w:hAnsi="Century" w:cs="Century Becker Schoolbook"/>
          <w:sz w:val="28"/>
          <w:szCs w:val="28"/>
        </w:rPr>
        <w:t xml:space="preserve">, 7 A.3d at ___.  See also </w:t>
      </w:r>
      <w:r w:rsidRPr="00256085">
        <w:rPr>
          <w:rFonts w:ascii="Century" w:hAnsi="Century" w:cs="Century Becker Schoolbook"/>
          <w:i/>
          <w:iCs/>
          <w:sz w:val="28"/>
          <w:szCs w:val="28"/>
        </w:rPr>
        <w:t>FOP 2013</w:t>
      </w:r>
      <w:r w:rsidRPr="00256085">
        <w:rPr>
          <w:rFonts w:ascii="Century" w:hAnsi="Century" w:cs="Century Becker Schoolbook"/>
          <w:sz w:val="28"/>
          <w:szCs w:val="28"/>
        </w:rPr>
        <w:t>, which noted that a trial court “may and often does examine the document in camera t</w:t>
      </w:r>
      <w:r w:rsidRPr="00256085">
        <w:rPr>
          <w:rFonts w:ascii="Century" w:hAnsi="Century" w:cs="Century Becker Schoolbook"/>
          <w:sz w:val="28"/>
          <w:szCs w:val="28"/>
        </w:rPr>
        <w:t>o determine whether the Government has properly characterized the information as exempt.”  79 A.3d at 359 n.50 (internal citation omitted).</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In rejecting </w:t>
      </w:r>
      <w:r w:rsidRPr="00256085">
        <w:rPr>
          <w:rFonts w:ascii="Century" w:hAnsi="Century" w:cs="Century Becker Schoolbook"/>
          <w:i/>
          <w:iCs/>
          <w:sz w:val="28"/>
          <w:szCs w:val="28"/>
        </w:rPr>
        <w:t xml:space="preserve">in camera </w:t>
      </w:r>
      <w:r w:rsidRPr="00256085">
        <w:rPr>
          <w:rFonts w:ascii="Century" w:hAnsi="Century" w:cs="Century Becker Schoolbook"/>
          <w:sz w:val="28"/>
          <w:szCs w:val="28"/>
        </w:rPr>
        <w:t xml:space="preserve">review, the trial court did not acknowledge its prior observation that segregability issues </w:t>
      </w:r>
      <w:r w:rsidRPr="00256085">
        <w:rPr>
          <w:rFonts w:ascii="Century" w:hAnsi="Century" w:cs="Century Becker Schoolbook"/>
          <w:sz w:val="28"/>
          <w:szCs w:val="28"/>
        </w:rPr>
        <w:t xml:space="preserve">present questions of fact (J.A. __).  Instead, the court declared that private letter rulings “are in their entirety an evaluation of the tax consequences of a taxpayer’s </w:t>
      </w:r>
      <w:r w:rsidRPr="00256085">
        <w:rPr>
          <w:rFonts w:ascii="Century" w:hAnsi="Century" w:cs="Century Becker Schoolbook"/>
          <w:sz w:val="28"/>
          <w:szCs w:val="28"/>
        </w:rPr>
        <w:lastRenderedPageBreak/>
        <w:t>financial circumstances,” citing a page from the OTR web page (J.A. __, citing J.A. _</w:t>
      </w:r>
      <w:r w:rsidRPr="00256085">
        <w:rPr>
          <w:rFonts w:ascii="Century" w:hAnsi="Century" w:cs="Century Becker Schoolbook"/>
          <w:sz w:val="28"/>
          <w:szCs w:val="28"/>
        </w:rPr>
        <w:t>_).  “Redacting the tax-exempt information from an analysis of the same would ‘[p]</w:t>
      </w:r>
      <w:proofErr w:type="spellStart"/>
      <w:r w:rsidRPr="00256085">
        <w:rPr>
          <w:rFonts w:ascii="Century" w:hAnsi="Century" w:cs="Century Becker Schoolbook"/>
          <w:sz w:val="28"/>
          <w:szCs w:val="28"/>
        </w:rPr>
        <w:t>roduce</w:t>
      </w:r>
      <w:proofErr w:type="spellEnd"/>
      <w:r w:rsidRPr="00256085">
        <w:rPr>
          <w:rFonts w:ascii="Century" w:hAnsi="Century" w:cs="Century Becker Schoolbook"/>
          <w:sz w:val="28"/>
          <w:szCs w:val="28"/>
        </w:rPr>
        <w:t xml:space="preserve"> an edited document with little informational value,’” </w:t>
      </w:r>
      <w:proofErr w:type="gramStart"/>
      <w:r w:rsidRPr="00256085">
        <w:rPr>
          <w:rFonts w:ascii="Century" w:hAnsi="Century" w:cs="Century Becker Schoolbook"/>
          <w:i/>
          <w:iCs/>
          <w:sz w:val="28"/>
          <w:szCs w:val="28"/>
        </w:rPr>
        <w:t>Mays</w:t>
      </w:r>
      <w:r w:rsidRPr="00256085">
        <w:rPr>
          <w:rFonts w:ascii="Century" w:hAnsi="Century" w:cs="Century Becker Schoolbook"/>
          <w:sz w:val="28"/>
          <w:szCs w:val="28"/>
        </w:rPr>
        <w:t xml:space="preserve">  243</w:t>
      </w:r>
      <w:proofErr w:type="gramEnd"/>
      <w:r w:rsidRPr="00256085">
        <w:rPr>
          <w:rFonts w:ascii="Century" w:hAnsi="Century" w:cs="Century Becker Schoolbook"/>
          <w:sz w:val="28"/>
          <w:szCs w:val="28"/>
        </w:rPr>
        <w:t xml:space="preserve"> F.3d at 1327, and therefore it is appropriate to withhold the documents in their entirety” J.A. __).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In effect, the trial court treated the letter rulings as categorically exempt in their entirety, regardless of whether there are non-exempt portions.  However, that was not what OTR argued.  OTR argued that the non-exempt portions of the letter rulings ar</w:t>
      </w:r>
      <w:r w:rsidRPr="00256085">
        <w:rPr>
          <w:rFonts w:ascii="Century" w:hAnsi="Century" w:cs="Century Becker Schoolbook"/>
          <w:sz w:val="28"/>
          <w:szCs w:val="28"/>
        </w:rPr>
        <w:t xml:space="preserve">e “inextricably intertwined” with the exempt portions and that excising the exempt portions would produce an edited document with little or no informational value.  Ex. P 24 (SJ memo p 10).  The arguments are analytically distinct, and the cited case law, </w:t>
      </w:r>
      <w:r w:rsidRPr="00256085">
        <w:rPr>
          <w:rFonts w:ascii="Century" w:hAnsi="Century" w:cs="Century Becker Schoolbook"/>
          <w:sz w:val="28"/>
          <w:szCs w:val="28"/>
        </w:rPr>
        <w:t>even if taken on its own terms, is irrelevant</w:t>
      </w:r>
      <w:proofErr w:type="gramStart"/>
      <w:r w:rsidRPr="00256085">
        <w:rPr>
          <w:rFonts w:ascii="Century" w:hAnsi="Century" w:cs="Century Becker Schoolbook"/>
          <w:sz w:val="28"/>
          <w:szCs w:val="28"/>
        </w:rPr>
        <w:t>..</w:t>
      </w:r>
      <w:proofErr w:type="gramEnd"/>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Both OTR and the trial court relied on </w:t>
      </w:r>
      <w:r w:rsidRPr="00256085">
        <w:rPr>
          <w:rFonts w:ascii="Century" w:hAnsi="Century" w:cs="Century Becker Schoolbook"/>
          <w:i/>
          <w:iCs/>
          <w:sz w:val="28"/>
          <w:szCs w:val="28"/>
        </w:rPr>
        <w:t>Mays v. Drug Enforcement Admin.</w:t>
      </w:r>
      <w:r w:rsidRPr="00256085">
        <w:rPr>
          <w:rFonts w:ascii="Century" w:hAnsi="Century" w:cs="Century Becker Schoolbook"/>
          <w:sz w:val="28"/>
          <w:szCs w:val="28"/>
        </w:rPr>
        <w:t xml:space="preserve">, 234 F.3d 1324, 1327 (D.C. Cir. 2000), which in turn quoted </w:t>
      </w:r>
      <w:r w:rsidRPr="00256085">
        <w:rPr>
          <w:rFonts w:ascii="Century" w:hAnsi="Century" w:cs="Century Becker Schoolbook"/>
          <w:i/>
          <w:iCs/>
          <w:sz w:val="28"/>
          <w:szCs w:val="28"/>
        </w:rPr>
        <w:t>Neufeld v. IRS</w:t>
      </w:r>
      <w:r w:rsidRPr="00256085">
        <w:rPr>
          <w:rFonts w:ascii="Century" w:hAnsi="Century" w:cs="Century Becker Schoolbook"/>
          <w:sz w:val="28"/>
          <w:szCs w:val="28"/>
        </w:rPr>
        <w:t xml:space="preserve">, 646 F.2d 661, 666 (D.C. Cir. 1981).  However, </w:t>
      </w:r>
      <w:r w:rsidRPr="00256085">
        <w:rPr>
          <w:rFonts w:ascii="Century" w:hAnsi="Century" w:cs="Century Becker Schoolbook"/>
          <w:i/>
          <w:iCs/>
          <w:sz w:val="28"/>
          <w:szCs w:val="28"/>
        </w:rPr>
        <w:t>Neufeld</w:t>
      </w:r>
      <w:r w:rsidRPr="00256085">
        <w:rPr>
          <w:rFonts w:ascii="Century" w:hAnsi="Century" w:cs="Century Becker Schoolbook"/>
          <w:sz w:val="28"/>
          <w:szCs w:val="28"/>
        </w:rPr>
        <w:t xml:space="preserve"> held t</w:t>
      </w:r>
      <w:r w:rsidRPr="00256085">
        <w:rPr>
          <w:rFonts w:ascii="Century" w:hAnsi="Century" w:cs="Century Becker Schoolbook"/>
          <w:sz w:val="28"/>
          <w:szCs w:val="28"/>
        </w:rPr>
        <w:t xml:space="preserve">hat an “inextricably intertwined” argument is available only if the </w:t>
      </w:r>
      <w:r w:rsidRPr="00256085">
        <w:rPr>
          <w:rFonts w:ascii="Century" w:hAnsi="Century" w:cs="Century Becker Schoolbook"/>
          <w:sz w:val="28"/>
          <w:szCs w:val="28"/>
        </w:rPr>
        <w:lastRenderedPageBreak/>
        <w:t>volume of requested records is significant and the non-exempt material is slight, such that any effort at redaction would significantly strain agency resources.  Only in that situation has</w:t>
      </w:r>
      <w:r w:rsidRPr="00256085">
        <w:rPr>
          <w:rFonts w:ascii="Century" w:hAnsi="Century" w:cs="Century Becker Schoolbook"/>
          <w:sz w:val="28"/>
          <w:szCs w:val="28"/>
        </w:rPr>
        <w:t xml:space="preserve"> a court allowed a claim of “inextricably intertwined,” </w:t>
      </w:r>
      <w:r w:rsidRPr="00256085">
        <w:rPr>
          <w:rFonts w:ascii="Century" w:hAnsi="Century" w:cs="Century Becker Schoolbook"/>
          <w:i/>
          <w:iCs/>
          <w:sz w:val="28"/>
          <w:szCs w:val="28"/>
        </w:rPr>
        <w:t>i.e.</w:t>
      </w:r>
      <w:r w:rsidRPr="00256085">
        <w:rPr>
          <w:rFonts w:ascii="Century" w:hAnsi="Century" w:cs="Century Becker Schoolbook"/>
          <w:sz w:val="28"/>
          <w:szCs w:val="28"/>
        </w:rPr>
        <w:t xml:space="preserve">, when the “excision of exempt information would impose significant costs on the agency and produce an edited document with little informational value.”  </w:t>
      </w:r>
      <w:r w:rsidRPr="00256085">
        <w:rPr>
          <w:rFonts w:ascii="Century" w:hAnsi="Century" w:cs="Century Becker Schoolbook"/>
          <w:i/>
          <w:iCs/>
          <w:sz w:val="28"/>
          <w:szCs w:val="28"/>
        </w:rPr>
        <w:t xml:space="preserve">Neufeld v. IRS, </w:t>
      </w:r>
      <w:r w:rsidRPr="00256085">
        <w:rPr>
          <w:rFonts w:ascii="Century" w:hAnsi="Century" w:cs="Century Becker Schoolbook"/>
          <w:sz w:val="28"/>
          <w:szCs w:val="28"/>
        </w:rPr>
        <w:t>646 F.2d 661, 646 (D.C. Ci</w:t>
      </w:r>
      <w:r w:rsidRPr="00256085">
        <w:rPr>
          <w:rFonts w:ascii="Century" w:hAnsi="Century" w:cs="Century Becker Schoolbook"/>
          <w:sz w:val="28"/>
          <w:szCs w:val="28"/>
        </w:rPr>
        <w:t xml:space="preserve">r. 1981), quoted in </w:t>
      </w:r>
      <w:r w:rsidRPr="00256085">
        <w:rPr>
          <w:rFonts w:ascii="Century" w:hAnsi="Century" w:cs="Century Becker Schoolbook"/>
          <w:i/>
          <w:iCs/>
          <w:sz w:val="28"/>
          <w:szCs w:val="28"/>
        </w:rPr>
        <w:t>Mays v. DEA</w:t>
      </w:r>
      <w:r w:rsidRPr="00256085">
        <w:rPr>
          <w:rFonts w:ascii="Century" w:hAnsi="Century" w:cs="Century Becker Schoolbook"/>
          <w:sz w:val="28"/>
          <w:szCs w:val="28"/>
        </w:rPr>
        <w:t xml:space="preserve">, 234 F.3d 1324, 1237 (D.C. Cir. 2000).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Neither </w:t>
      </w:r>
      <w:proofErr w:type="gramStart"/>
      <w:r w:rsidRPr="00256085">
        <w:rPr>
          <w:rFonts w:ascii="Century" w:hAnsi="Century" w:cs="Century Becker Schoolbook"/>
          <w:i/>
          <w:iCs/>
          <w:sz w:val="28"/>
          <w:szCs w:val="28"/>
        </w:rPr>
        <w:t xml:space="preserve">Neufeld </w:t>
      </w:r>
      <w:r w:rsidRPr="00256085">
        <w:rPr>
          <w:rFonts w:ascii="Century" w:hAnsi="Century" w:cs="Century Becker Schoolbook"/>
          <w:sz w:val="28"/>
          <w:szCs w:val="28"/>
        </w:rPr>
        <w:t xml:space="preserve"> nor</w:t>
      </w:r>
      <w:proofErr w:type="gramEnd"/>
      <w:r w:rsidRPr="00256085">
        <w:rPr>
          <w:rFonts w:ascii="Century" w:hAnsi="Century" w:cs="Century Becker Schoolbook"/>
          <w:sz w:val="28"/>
          <w:szCs w:val="28"/>
        </w:rPr>
        <w:t xml:space="preserve"> </w:t>
      </w:r>
      <w:r w:rsidRPr="00256085">
        <w:rPr>
          <w:rFonts w:ascii="Century" w:hAnsi="Century" w:cs="Century Becker Schoolbook"/>
          <w:i/>
          <w:iCs/>
          <w:sz w:val="28"/>
          <w:szCs w:val="28"/>
        </w:rPr>
        <w:t>Mays</w:t>
      </w:r>
      <w:r w:rsidRPr="00256085">
        <w:rPr>
          <w:rFonts w:ascii="Century" w:hAnsi="Century" w:cs="Century Becker Schoolbook"/>
          <w:sz w:val="28"/>
          <w:szCs w:val="28"/>
        </w:rPr>
        <w:t xml:space="preserve"> had occasion to rule on the specifics of when a burden might outweigh any value, but subsequent cases make it clear that OTR would need to make a far more c</w:t>
      </w:r>
      <w:r w:rsidRPr="00256085">
        <w:rPr>
          <w:rFonts w:ascii="Century" w:hAnsi="Century" w:cs="Century Becker Schoolbook"/>
          <w:sz w:val="28"/>
          <w:szCs w:val="28"/>
        </w:rPr>
        <w:t xml:space="preserve">ompelling showing that it has made here.  Compare </w:t>
      </w:r>
      <w:r w:rsidRPr="00256085">
        <w:rPr>
          <w:rFonts w:ascii="Century" w:hAnsi="Century" w:cs="Century Becker Schoolbook"/>
          <w:i/>
          <w:iCs/>
          <w:sz w:val="28"/>
          <w:szCs w:val="28"/>
        </w:rPr>
        <w:t>Solar Sources, Inc. v. United States</w:t>
      </w:r>
      <w:r w:rsidRPr="00256085">
        <w:rPr>
          <w:rFonts w:ascii="Century" w:hAnsi="Century" w:cs="Century Becker Schoolbook"/>
          <w:sz w:val="28"/>
          <w:szCs w:val="28"/>
        </w:rPr>
        <w:t>, 142 F.3d 1033, 1039 (7th Cir. 1998) (records not “reasonably segregable” when it would take eight work-years to identify all nonexempt documents in millions of pages of</w:t>
      </w:r>
      <w:r w:rsidRPr="00256085">
        <w:rPr>
          <w:rFonts w:ascii="Century" w:hAnsi="Century" w:cs="Century Becker Schoolbook"/>
          <w:sz w:val="28"/>
          <w:szCs w:val="28"/>
        </w:rPr>
        <w:t xml:space="preserve"> files, and only a small percentage could be released) with </w:t>
      </w:r>
      <w:proofErr w:type="spellStart"/>
      <w:r w:rsidRPr="00256085">
        <w:rPr>
          <w:rFonts w:ascii="Century" w:hAnsi="Century" w:cs="Century Becker Schoolbook"/>
          <w:i/>
          <w:iCs/>
          <w:sz w:val="28"/>
          <w:szCs w:val="28"/>
        </w:rPr>
        <w:t>Rugiero</w:t>
      </w:r>
      <w:proofErr w:type="spellEnd"/>
      <w:r w:rsidRPr="00256085">
        <w:rPr>
          <w:rFonts w:ascii="Century" w:hAnsi="Century" w:cs="Century Becker Schoolbook"/>
          <w:i/>
          <w:iCs/>
          <w:sz w:val="28"/>
          <w:szCs w:val="28"/>
        </w:rPr>
        <w:t xml:space="preserve"> v. Department of Justice</w:t>
      </w:r>
      <w:r w:rsidRPr="00256085">
        <w:rPr>
          <w:rFonts w:ascii="Century" w:hAnsi="Century" w:cs="Century Becker Schoolbook"/>
          <w:sz w:val="28"/>
          <w:szCs w:val="28"/>
        </w:rPr>
        <w:t xml:space="preserve">, 234 F. Supp. 2d 697, 707-09 (E.D. Mich. 2002) (segregating non-exempt portions is not a significant burden for a 364-page request).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lastRenderedPageBreak/>
        <w:tab/>
        <w:t>Here, by contrast, we deal w</w:t>
      </w:r>
      <w:r w:rsidRPr="00256085">
        <w:rPr>
          <w:rFonts w:ascii="Century" w:hAnsi="Century" w:cs="Century Becker Schoolbook"/>
          <w:sz w:val="28"/>
          <w:szCs w:val="28"/>
        </w:rPr>
        <w:t xml:space="preserve">ith only 24 documents, and based on the rulings that OTR has published (J.A. __-__), each ruling is likely to be no more than a few pages in length, for a total of probably 100 or so pages.  Moreover, since OTR does redact and publish these rulings, doing </w:t>
      </w:r>
      <w:r w:rsidRPr="00256085">
        <w:rPr>
          <w:rFonts w:ascii="Century" w:hAnsi="Century" w:cs="Century Becker Schoolbook"/>
          <w:sz w:val="28"/>
          <w:szCs w:val="28"/>
        </w:rPr>
        <w:t xml:space="preserve">so here would hardly strain </w:t>
      </w:r>
      <w:proofErr w:type="gramStart"/>
      <w:r w:rsidRPr="00256085">
        <w:rPr>
          <w:rFonts w:ascii="Century" w:hAnsi="Century" w:cs="Century Becker Schoolbook"/>
          <w:sz w:val="28"/>
          <w:szCs w:val="28"/>
        </w:rPr>
        <w:t>OTR’s  resources</w:t>
      </w:r>
      <w:proofErr w:type="gramEnd"/>
      <w:r w:rsidRPr="00256085">
        <w:rPr>
          <w:rFonts w:ascii="Century" w:hAnsi="Century" w:cs="Century Becker Schoolbook"/>
          <w:sz w:val="28"/>
          <w:szCs w:val="28"/>
        </w:rPr>
        <w:t xml:space="preserve"> to a point that the request must be denied in its entirety.  See </w:t>
      </w:r>
      <w:r w:rsidRPr="00256085">
        <w:rPr>
          <w:rFonts w:ascii="Century" w:hAnsi="Century" w:cs="Century Becker Schoolbook"/>
          <w:i/>
          <w:iCs/>
          <w:sz w:val="28"/>
          <w:szCs w:val="28"/>
        </w:rPr>
        <w:t>People for the American Way Foundation v. v. Nat'l Park Serv</w:t>
      </w:r>
      <w:r w:rsidRPr="00256085">
        <w:rPr>
          <w:rFonts w:ascii="Century" w:hAnsi="Century" w:cs="Century Becker Schoolbook"/>
          <w:sz w:val="28"/>
          <w:szCs w:val="28"/>
        </w:rPr>
        <w:t>., 503 F. Supp. 2d 284, 307 (D.D.C. 2007) (Sullivan, J.) (</w:t>
      </w:r>
      <w:r w:rsidRPr="00256085">
        <w:rPr>
          <w:rFonts w:ascii="Century" w:hAnsi="Century" w:cs="Century Becker Schoolbook"/>
          <w:i/>
          <w:iCs/>
          <w:sz w:val="28"/>
          <w:szCs w:val="28"/>
        </w:rPr>
        <w:t xml:space="preserve">in camera </w:t>
      </w:r>
      <w:r w:rsidRPr="00256085">
        <w:rPr>
          <w:rFonts w:ascii="Century" w:hAnsi="Century" w:cs="Century Becker Schoolbook"/>
          <w:sz w:val="28"/>
          <w:szCs w:val="28"/>
        </w:rPr>
        <w:t>review may be warr</w:t>
      </w:r>
      <w:r w:rsidRPr="00256085">
        <w:rPr>
          <w:rFonts w:ascii="Century" w:hAnsi="Century" w:cs="Century Becker Schoolbook"/>
          <w:sz w:val="28"/>
          <w:szCs w:val="28"/>
        </w:rPr>
        <w:t>anted when the number of records involved is relatively small, a disparity exists between the agency’ exemption claim and publicly available information, and the dispute turns on the contents of the documents).</w:t>
      </w:r>
      <w:r w:rsidRPr="00256085">
        <w:rPr>
          <w:rFonts w:ascii="Century" w:hAnsi="Century" w:cs="Century Becker Schoolbook"/>
          <w:sz w:val="28"/>
          <w:szCs w:val="28"/>
        </w:rPr>
        <w:tab/>
        <w:t xml:space="preserve">In short, there is no factual or legal basis </w:t>
      </w:r>
      <w:r w:rsidRPr="00256085">
        <w:rPr>
          <w:rFonts w:ascii="Century" w:hAnsi="Century" w:cs="Century Becker Schoolbook"/>
          <w:sz w:val="28"/>
          <w:szCs w:val="28"/>
        </w:rPr>
        <w:t xml:space="preserve">for the trial court to reject an </w:t>
      </w:r>
      <w:r w:rsidRPr="00256085">
        <w:rPr>
          <w:rFonts w:ascii="Century" w:hAnsi="Century" w:cs="Century Becker Schoolbook"/>
          <w:i/>
          <w:iCs/>
          <w:sz w:val="28"/>
          <w:szCs w:val="28"/>
        </w:rPr>
        <w:t xml:space="preserve">in camera </w:t>
      </w:r>
      <w:r w:rsidRPr="00256085">
        <w:rPr>
          <w:rFonts w:ascii="Century" w:hAnsi="Century" w:cs="Century Becker Schoolbook"/>
          <w:sz w:val="28"/>
          <w:szCs w:val="28"/>
        </w:rPr>
        <w:t xml:space="preserve">review of records and to grant summary judgment without making a factual determination as to segregability. </w:t>
      </w:r>
    </w:p>
    <w:p w:rsidR="00000000" w:rsidRPr="00256085" w:rsidRDefault="00AE1CCA">
      <w:pPr>
        <w:tabs>
          <w:tab w:val="left" w:pos="-179"/>
        </w:tabs>
        <w:spacing w:line="480" w:lineRule="auto"/>
        <w:jc w:val="center"/>
        <w:rPr>
          <w:rFonts w:ascii="Century" w:hAnsi="Century" w:cs="Century Becker Schoolbook"/>
          <w:sz w:val="28"/>
          <w:szCs w:val="28"/>
        </w:rPr>
      </w:pPr>
      <w:r w:rsidRPr="00256085">
        <w:rPr>
          <w:rFonts w:ascii="Century" w:hAnsi="Century" w:cs="Century Becker Schoolbook"/>
          <w:sz w:val="28"/>
          <w:szCs w:val="28"/>
        </w:rPr>
        <w:t>*      *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A final observation   In </w:t>
      </w:r>
      <w:r w:rsidRPr="00256085">
        <w:rPr>
          <w:rFonts w:ascii="Century" w:hAnsi="Century" w:cs="Century Becker Schoolbook"/>
          <w:i/>
          <w:iCs/>
          <w:sz w:val="28"/>
          <w:szCs w:val="28"/>
        </w:rPr>
        <w:t>Fraternal Order of Police, Metropolitan Police Labor Committee</w:t>
      </w:r>
      <w:r w:rsidRPr="00256085">
        <w:rPr>
          <w:rFonts w:ascii="Century" w:hAnsi="Century" w:cs="Century Becker Schoolbook"/>
          <w:i/>
          <w:iCs/>
          <w:sz w:val="28"/>
          <w:szCs w:val="28"/>
        </w:rPr>
        <w:t xml:space="preserve"> v. District of Columbia</w:t>
      </w:r>
      <w:r w:rsidRPr="00256085">
        <w:rPr>
          <w:rFonts w:ascii="Century" w:hAnsi="Century" w:cs="Century Becker Schoolbook"/>
          <w:sz w:val="28"/>
          <w:szCs w:val="28"/>
        </w:rPr>
        <w:t xml:space="preserve">, 124 A.3d ___ (D.C. 2015), this Court noted that in cases where trial courts “have reviewed </w:t>
      </w:r>
      <w:r w:rsidRPr="00256085">
        <w:rPr>
          <w:rFonts w:ascii="Century" w:hAnsi="Century" w:cs="Century Becker Schoolbook"/>
          <w:sz w:val="28"/>
          <w:szCs w:val="28"/>
        </w:rPr>
        <w:lastRenderedPageBreak/>
        <w:t xml:space="preserve">records </w:t>
      </w:r>
      <w:r w:rsidRPr="00256085">
        <w:rPr>
          <w:rFonts w:ascii="Century" w:hAnsi="Century" w:cs="Century Becker Schoolbook"/>
          <w:i/>
          <w:iCs/>
          <w:sz w:val="28"/>
          <w:szCs w:val="28"/>
        </w:rPr>
        <w:t>in camera</w:t>
      </w:r>
      <w:r w:rsidRPr="00256085">
        <w:rPr>
          <w:rFonts w:ascii="Century" w:hAnsi="Century" w:cs="Century Becker Schoolbook"/>
          <w:sz w:val="28"/>
          <w:szCs w:val="28"/>
        </w:rPr>
        <w:t xml:space="preserve"> to evaluate the government's claimed exemptions, appellate courts generally find it necessary to review the documents in </w:t>
      </w:r>
      <w:r w:rsidRPr="00256085">
        <w:rPr>
          <w:rFonts w:ascii="Century" w:hAnsi="Century" w:cs="Century Becker Schoolbook"/>
          <w:sz w:val="28"/>
          <w:szCs w:val="28"/>
        </w:rPr>
        <w:t xml:space="preserve">camera as well.”  </w:t>
      </w:r>
      <w:r w:rsidRPr="00256085">
        <w:rPr>
          <w:rFonts w:ascii="Century" w:hAnsi="Century" w:cs="Century Becker Schoolbook"/>
          <w:i/>
          <w:iCs/>
          <w:sz w:val="28"/>
          <w:szCs w:val="28"/>
        </w:rPr>
        <w:t>Id.</w:t>
      </w:r>
      <w:r w:rsidRPr="00256085">
        <w:rPr>
          <w:rFonts w:ascii="Century" w:hAnsi="Century" w:cs="Century Becker Schoolbook"/>
          <w:sz w:val="28"/>
          <w:szCs w:val="28"/>
        </w:rPr>
        <w:t xml:space="preserve"> at 77 n.12.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We respectfully submit that it would be appropriate for this Court to undertake an</w:t>
      </w:r>
      <w:r w:rsidRPr="00256085">
        <w:rPr>
          <w:rFonts w:ascii="Century" w:hAnsi="Century" w:cs="Century Becker Schoolbook"/>
          <w:i/>
          <w:iCs/>
          <w:sz w:val="28"/>
          <w:szCs w:val="28"/>
        </w:rPr>
        <w:t xml:space="preserve"> in camera </w:t>
      </w:r>
      <w:r w:rsidRPr="00256085">
        <w:rPr>
          <w:rFonts w:ascii="Century" w:hAnsi="Century" w:cs="Century Becker Schoolbook"/>
          <w:sz w:val="28"/>
          <w:szCs w:val="28"/>
        </w:rPr>
        <w:t xml:space="preserve">review of the private letter rulings in this case, given the disparities in the parties’ descriptions of those </w:t>
      </w:r>
      <w:r w:rsidRPr="00256085">
        <w:rPr>
          <w:rFonts w:ascii="Century" w:hAnsi="Century" w:cs="Century Becker Schoolbook"/>
          <w:sz w:val="28"/>
          <w:szCs w:val="28"/>
        </w:rPr>
        <w:t>documents.  The volume of material is slight (100 pages or so), and it should be obvious from even a cursory review whether non-exempt material is “inextricably intertwined” with personal identifying information or whether the rulings more closely resemble</w:t>
      </w:r>
      <w:r w:rsidRPr="00256085">
        <w:rPr>
          <w:rFonts w:ascii="Century" w:hAnsi="Century" w:cs="Century Becker Schoolbook"/>
          <w:sz w:val="28"/>
          <w:szCs w:val="28"/>
        </w:rPr>
        <w:t xml:space="preserve"> those rulings that OTR has in the past made public with names and identifiers redacted (J.A. __-__).</w:t>
      </w:r>
    </w:p>
    <w:p w:rsidR="00000000" w:rsidRPr="00256085" w:rsidRDefault="00AE1CCA">
      <w:pPr>
        <w:tabs>
          <w:tab w:val="left" w:pos="-179"/>
        </w:tabs>
        <w:spacing w:line="480" w:lineRule="auto"/>
        <w:rPr>
          <w:rFonts w:ascii="Century" w:hAnsi="Century" w:cs="Century Becker Schoolbook"/>
          <w:sz w:val="28"/>
          <w:szCs w:val="28"/>
          <w:u w:val="single"/>
        </w:rPr>
      </w:pPr>
      <w:r w:rsidRPr="00256085">
        <w:rPr>
          <w:rFonts w:ascii="Century" w:hAnsi="Century" w:cs="Century Becker Schoolbook"/>
          <w:sz w:val="28"/>
          <w:szCs w:val="28"/>
        </w:rPr>
        <w:tab/>
        <w:t xml:space="preserve">D.  </w:t>
      </w:r>
      <w:r w:rsidRPr="00256085">
        <w:rPr>
          <w:rFonts w:ascii="Century" w:hAnsi="Century" w:cs="Century Becker Schoolbook"/>
          <w:sz w:val="28"/>
          <w:szCs w:val="28"/>
          <w:u w:val="single"/>
        </w:rPr>
        <w:t>The personal privacy exception has no application here.</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OTR also sought summary judgment under Exemption 2, </w:t>
      </w:r>
      <w:proofErr w:type="gramStart"/>
      <w:r w:rsidRPr="00256085">
        <w:rPr>
          <w:rFonts w:ascii="Century" w:hAnsi="Century" w:cs="Century Becker Schoolbook"/>
          <w:sz w:val="28"/>
          <w:szCs w:val="28"/>
        </w:rPr>
        <w:t xml:space="preserve">which </w:t>
      </w:r>
      <w:r w:rsidRPr="00256085">
        <w:rPr>
          <w:rFonts w:ascii="Century" w:hAnsi="Century"/>
          <w:sz w:val="28"/>
          <w:szCs w:val="28"/>
        </w:rPr>
        <w:t xml:space="preserve"> allows</w:t>
      </w:r>
      <w:proofErr w:type="gramEnd"/>
      <w:r w:rsidRPr="00256085">
        <w:rPr>
          <w:rFonts w:ascii="Century" w:hAnsi="Century"/>
          <w:sz w:val="28"/>
          <w:szCs w:val="28"/>
        </w:rPr>
        <w:t xml:space="preserve"> agencies to withhold infor</w:t>
      </w:r>
      <w:r w:rsidRPr="00256085">
        <w:rPr>
          <w:rFonts w:ascii="Century" w:hAnsi="Century"/>
          <w:sz w:val="28"/>
          <w:szCs w:val="28"/>
        </w:rPr>
        <w:t xml:space="preserve">mation that would lead to a “clearly unwarranted invasion of personal privacy.”  </w:t>
      </w:r>
      <w:r w:rsidRPr="00256085">
        <w:rPr>
          <w:rFonts w:ascii="Century" w:hAnsi="Century" w:cs="Century Becker Schoolbook"/>
          <w:sz w:val="28"/>
          <w:szCs w:val="28"/>
        </w:rPr>
        <w:t>D.C. Code § 2-534(a</w:t>
      </w:r>
      <w:proofErr w:type="gramStart"/>
      <w:r w:rsidRPr="00256085">
        <w:rPr>
          <w:rFonts w:ascii="Century" w:hAnsi="Century" w:cs="Century Becker Schoolbook"/>
          <w:sz w:val="28"/>
          <w:szCs w:val="28"/>
        </w:rPr>
        <w:t>)(</w:t>
      </w:r>
      <w:proofErr w:type="gramEnd"/>
      <w:r w:rsidRPr="00256085">
        <w:rPr>
          <w:rFonts w:ascii="Century" w:hAnsi="Century" w:cs="Century Becker Schoolbook"/>
          <w:sz w:val="28"/>
          <w:szCs w:val="28"/>
        </w:rPr>
        <w:t xml:space="preserve">2).  Although the trial court did not rule on this issue, we ask this Court to do so because, as we demonstrated in Part B above, a proper application </w:t>
      </w:r>
      <w:r w:rsidRPr="00256085">
        <w:rPr>
          <w:rFonts w:ascii="Century" w:hAnsi="Century" w:cs="Century Becker Schoolbook"/>
          <w:sz w:val="28"/>
          <w:szCs w:val="28"/>
        </w:rPr>
        <w:lastRenderedPageBreak/>
        <w:t xml:space="preserve">of </w:t>
      </w:r>
      <w:r w:rsidRPr="00256085">
        <w:rPr>
          <w:rFonts w:ascii="Century" w:hAnsi="Century" w:cs="Century Becker Schoolbook"/>
          <w:sz w:val="28"/>
          <w:szCs w:val="28"/>
        </w:rPr>
        <w:t xml:space="preserve">D.C. Code § 47-4406 is more than adequate to protect taxpayer </w:t>
      </w:r>
      <w:bookmarkStart w:id="0" w:name="_GoBack"/>
      <w:bookmarkEnd w:id="0"/>
      <w:r w:rsidRPr="00256085">
        <w:rPr>
          <w:rFonts w:ascii="Century" w:hAnsi="Century" w:cs="Century Becker Schoolbook"/>
          <w:sz w:val="28"/>
          <w:szCs w:val="28"/>
        </w:rPr>
        <w:t xml:space="preserve">privacy.  Indeed, OTR has already demonstrated its ability to protect sensitive information in the redacted guidance it has been making available for years (J.A. __-__).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Moreover, the text of </w:t>
      </w:r>
      <w:r w:rsidRPr="00256085">
        <w:rPr>
          <w:rFonts w:ascii="Century" w:hAnsi="Century" w:cs="Century Becker Schoolbook"/>
          <w:sz w:val="28"/>
          <w:szCs w:val="28"/>
        </w:rPr>
        <w:t>the privacy exemption is limited to disclosures that “would constitute” a “clearly unwarranted” invasion of personal privacy. This is a very stringent standard</w:t>
      </w:r>
      <w:proofErr w:type="gramStart"/>
      <w:r w:rsidRPr="00256085">
        <w:rPr>
          <w:rFonts w:ascii="Century" w:hAnsi="Century" w:cs="Century Becker Schoolbook"/>
          <w:sz w:val="28"/>
          <w:szCs w:val="28"/>
        </w:rPr>
        <w:t>,</w:t>
      </w:r>
      <w:r w:rsidRPr="00256085">
        <w:rPr>
          <w:rFonts w:ascii="Century" w:hAnsi="Century" w:cs="Times New Roman"/>
          <w:sz w:val="28"/>
          <w:szCs w:val="28"/>
          <w:vertAlign w:val="superscript"/>
        </w:rPr>
        <w:footnoteReference w:customMarkFollows="1" w:id="9"/>
        <w:t>9</w:t>
      </w:r>
      <w:proofErr w:type="gramEnd"/>
      <w:r w:rsidRPr="00256085">
        <w:rPr>
          <w:rFonts w:ascii="Century" w:hAnsi="Century" w:cs="Century Becker Schoolbook"/>
          <w:sz w:val="28"/>
          <w:szCs w:val="28"/>
        </w:rPr>
        <w:t xml:space="preserve"> and it requires the</w:t>
      </w:r>
    </w:p>
    <w:p w:rsidR="00000000" w:rsidRPr="00256085" w:rsidRDefault="00AE1CCA">
      <w:pPr>
        <w:tabs>
          <w:tab w:val="left" w:pos="-179"/>
        </w:tabs>
        <w:spacing w:line="480" w:lineRule="auto"/>
        <w:rPr>
          <w:rFonts w:ascii="Century" w:hAnsi="Century" w:cs="Century Becker Schoolbook"/>
          <w:sz w:val="28"/>
          <w:szCs w:val="28"/>
        </w:rPr>
      </w:pPr>
      <w:proofErr w:type="gramStart"/>
      <w:r w:rsidRPr="00256085">
        <w:rPr>
          <w:rFonts w:ascii="Century" w:hAnsi="Century" w:cs="Century Becker Schoolbook"/>
          <w:sz w:val="28"/>
          <w:szCs w:val="28"/>
        </w:rPr>
        <w:t>agency</w:t>
      </w:r>
      <w:proofErr w:type="gramEnd"/>
      <w:r w:rsidRPr="00256085">
        <w:rPr>
          <w:rFonts w:ascii="Century" w:hAnsi="Century" w:cs="Century Becker Schoolbook"/>
          <w:sz w:val="28"/>
          <w:szCs w:val="28"/>
        </w:rPr>
        <w:t xml:space="preserve"> to identify a privacy interest, which the court will then balance against the public interest i</w:t>
      </w:r>
      <w:r w:rsidRPr="00256085">
        <w:rPr>
          <w:rFonts w:ascii="Century" w:hAnsi="Century" w:cs="Century Becker Schoolbook"/>
          <w:sz w:val="28"/>
          <w:szCs w:val="28"/>
        </w:rPr>
        <w:t xml:space="preserve">n disclosure. </w:t>
      </w:r>
      <w:proofErr w:type="spellStart"/>
      <w:r w:rsidRPr="00256085">
        <w:rPr>
          <w:rFonts w:ascii="Century" w:hAnsi="Century" w:cs="Century Becker Schoolbook"/>
          <w:i/>
          <w:iCs/>
          <w:sz w:val="28"/>
          <w:szCs w:val="28"/>
        </w:rPr>
        <w:t>Padou</w:t>
      </w:r>
      <w:proofErr w:type="spellEnd"/>
      <w:r w:rsidRPr="00256085">
        <w:rPr>
          <w:rFonts w:ascii="Century" w:hAnsi="Century" w:cs="Century Becker Schoolbook"/>
          <w:i/>
          <w:iCs/>
          <w:sz w:val="28"/>
          <w:szCs w:val="28"/>
        </w:rPr>
        <w:t xml:space="preserve"> v. District of Columbia</w:t>
      </w:r>
      <w:r w:rsidRPr="00256085">
        <w:rPr>
          <w:rFonts w:ascii="Century" w:hAnsi="Century" w:cs="Century Becker Schoolbook"/>
          <w:sz w:val="28"/>
          <w:szCs w:val="28"/>
        </w:rPr>
        <w:t xml:space="preserve">, 29 A.3d 973, 982 (D.C. 2011).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 xml:space="preserve">When OTR raised this argument in the trial court, it relied upon </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i/>
          <w:iCs/>
          <w:sz w:val="28"/>
          <w:szCs w:val="28"/>
        </w:rPr>
        <w:t xml:space="preserve">Fraternal Order of Police, Metro. Labor </w:t>
      </w:r>
      <w:proofErr w:type="spellStart"/>
      <w:r w:rsidRPr="00256085">
        <w:rPr>
          <w:rFonts w:ascii="Century" w:hAnsi="Century" w:cs="Century Becker Schoolbook"/>
          <w:i/>
          <w:iCs/>
          <w:sz w:val="28"/>
          <w:szCs w:val="28"/>
        </w:rPr>
        <w:t>Comm</w:t>
      </w:r>
      <w:r w:rsidRPr="00256085">
        <w:rPr>
          <w:rFonts w:ascii="Century" w:hAnsi="Century" w:cs="Century Becker Schoolbook"/>
          <w:sz w:val="28"/>
          <w:szCs w:val="28"/>
        </w:rPr>
        <w:t>’</w:t>
      </w:r>
      <w:r w:rsidRPr="00256085">
        <w:rPr>
          <w:rFonts w:ascii="Century" w:hAnsi="Century" w:cs="Century Becker Schoolbook"/>
          <w:i/>
          <w:iCs/>
          <w:sz w:val="28"/>
          <w:szCs w:val="28"/>
        </w:rPr>
        <w:t>n</w:t>
      </w:r>
      <w:proofErr w:type="spellEnd"/>
      <w:r w:rsidRPr="00256085">
        <w:rPr>
          <w:rFonts w:ascii="Century" w:hAnsi="Century" w:cs="Century Becker Schoolbook"/>
          <w:i/>
          <w:iCs/>
          <w:sz w:val="28"/>
          <w:szCs w:val="28"/>
        </w:rPr>
        <w:t xml:space="preserve"> v. District of Columbia, </w:t>
      </w:r>
      <w:r w:rsidRPr="00256085">
        <w:rPr>
          <w:rFonts w:ascii="Century" w:hAnsi="Century" w:cs="Century Becker Schoolbook"/>
          <w:sz w:val="28"/>
          <w:szCs w:val="28"/>
        </w:rPr>
        <w:t>124 A.3d 69 (D.C. 2015), but the case su</w:t>
      </w:r>
      <w:r w:rsidRPr="00256085">
        <w:rPr>
          <w:rFonts w:ascii="Century" w:hAnsi="Century" w:cs="Century Becker Schoolbook"/>
          <w:sz w:val="28"/>
          <w:szCs w:val="28"/>
        </w:rPr>
        <w:t>pports the sort of disclosure Tax Analysts seeks here.</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At issue in</w:t>
      </w:r>
      <w:r w:rsidRPr="00256085">
        <w:rPr>
          <w:rFonts w:ascii="Century" w:hAnsi="Century" w:cs="Century Becker Schoolbook"/>
          <w:i/>
          <w:iCs/>
          <w:sz w:val="28"/>
          <w:szCs w:val="28"/>
        </w:rPr>
        <w:t xml:space="preserve"> FOP 2015</w:t>
      </w:r>
      <w:r w:rsidRPr="00256085">
        <w:rPr>
          <w:rFonts w:ascii="Century" w:hAnsi="Century" w:cs="Century Becker Schoolbook"/>
          <w:sz w:val="28"/>
          <w:szCs w:val="28"/>
        </w:rPr>
        <w:t xml:space="preserve"> were internal disciplinary records of </w:t>
      </w:r>
      <w:proofErr w:type="gramStart"/>
      <w:r w:rsidRPr="00256085">
        <w:rPr>
          <w:rFonts w:ascii="Century" w:hAnsi="Century" w:cs="Century Becker Schoolbook"/>
          <w:sz w:val="28"/>
          <w:szCs w:val="28"/>
        </w:rPr>
        <w:t xml:space="preserve">MPD  </w:t>
      </w:r>
      <w:r w:rsidRPr="00256085">
        <w:rPr>
          <w:rFonts w:ascii="Century" w:hAnsi="Century" w:cs="Century Becker Schoolbook"/>
          <w:sz w:val="28"/>
          <w:szCs w:val="28"/>
        </w:rPr>
        <w:lastRenderedPageBreak/>
        <w:t>lieutenants</w:t>
      </w:r>
      <w:proofErr w:type="gramEnd"/>
      <w:r w:rsidRPr="00256085">
        <w:rPr>
          <w:rFonts w:ascii="Century" w:hAnsi="Century" w:cs="Century Becker Schoolbook"/>
          <w:sz w:val="28"/>
          <w:szCs w:val="28"/>
        </w:rPr>
        <w:t xml:space="preserve">, captains and senior officer.  The requester agreed </w:t>
      </w:r>
      <w:proofErr w:type="gramStart"/>
      <w:r w:rsidRPr="00256085">
        <w:rPr>
          <w:rFonts w:ascii="Century" w:hAnsi="Century" w:cs="Century Becker Schoolbook"/>
          <w:sz w:val="28"/>
          <w:szCs w:val="28"/>
        </w:rPr>
        <w:t>that  names</w:t>
      </w:r>
      <w:proofErr w:type="gramEnd"/>
      <w:r w:rsidRPr="00256085">
        <w:rPr>
          <w:rFonts w:ascii="Century" w:hAnsi="Century" w:cs="Century Becker Schoolbook"/>
          <w:sz w:val="28"/>
          <w:szCs w:val="28"/>
        </w:rPr>
        <w:t xml:space="preserve"> and identifying information (such as address, SSN, rank, dis</w:t>
      </w:r>
      <w:r w:rsidRPr="00256085">
        <w:rPr>
          <w:rFonts w:ascii="Century" w:hAnsi="Century" w:cs="Century Becker Schoolbook"/>
          <w:sz w:val="28"/>
          <w:szCs w:val="28"/>
        </w:rPr>
        <w:t>trict and birth date) could be redacted, 124 A.3d at 72, and the only issue was whether MPD had to disclose the gender and race of the disciplined</w:t>
      </w:r>
    </w:p>
    <w:p w:rsidR="00000000" w:rsidRPr="00256085" w:rsidRDefault="00AE1CCA">
      <w:pPr>
        <w:tabs>
          <w:tab w:val="left" w:pos="-179"/>
        </w:tabs>
        <w:spacing w:line="480" w:lineRule="auto"/>
        <w:rPr>
          <w:rFonts w:ascii="Century" w:hAnsi="Century" w:cs="Century Becker Schoolbook"/>
          <w:sz w:val="28"/>
          <w:szCs w:val="28"/>
        </w:rPr>
      </w:pPr>
      <w:proofErr w:type="gramStart"/>
      <w:r w:rsidRPr="00256085">
        <w:rPr>
          <w:rFonts w:ascii="Century" w:hAnsi="Century" w:cs="Century Becker Schoolbook"/>
          <w:sz w:val="28"/>
          <w:szCs w:val="28"/>
        </w:rPr>
        <w:t>officials</w:t>
      </w:r>
      <w:proofErr w:type="gramEnd"/>
      <w:r w:rsidRPr="00256085">
        <w:rPr>
          <w:rFonts w:ascii="Century" w:hAnsi="Century" w:cs="Century Becker Schoolbook"/>
          <w:sz w:val="28"/>
          <w:szCs w:val="28"/>
        </w:rPr>
        <w:t xml:space="preserve"> and the date of the event.</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In conducting the requisite balancing of public interests versus privat</w:t>
      </w:r>
      <w:r w:rsidRPr="00256085">
        <w:rPr>
          <w:rFonts w:ascii="Century" w:hAnsi="Century" w:cs="Century Becker Schoolbook"/>
          <w:sz w:val="28"/>
          <w:szCs w:val="28"/>
        </w:rPr>
        <w:t>e interest, this Court agreed that a significant privacy interest was at stake in disclosing names and personal identifiers, particularly</w:t>
      </w:r>
    </w:p>
    <w:p w:rsidR="00000000" w:rsidRPr="00256085" w:rsidRDefault="00AE1CCA">
      <w:pPr>
        <w:tabs>
          <w:tab w:val="left" w:pos="-179"/>
        </w:tabs>
        <w:spacing w:line="480" w:lineRule="auto"/>
        <w:rPr>
          <w:rFonts w:ascii="Century" w:hAnsi="Century" w:cs="Century Becker Schoolbook"/>
          <w:i/>
          <w:iCs/>
          <w:sz w:val="28"/>
          <w:szCs w:val="28"/>
        </w:rPr>
      </w:pPr>
      <w:proofErr w:type="gramStart"/>
      <w:r w:rsidRPr="00256085">
        <w:rPr>
          <w:rFonts w:ascii="Century" w:hAnsi="Century" w:cs="Century Becker Schoolbook"/>
          <w:sz w:val="28"/>
          <w:szCs w:val="28"/>
        </w:rPr>
        <w:t>given</w:t>
      </w:r>
      <w:proofErr w:type="gramEnd"/>
      <w:r w:rsidRPr="00256085">
        <w:rPr>
          <w:rFonts w:ascii="Century" w:hAnsi="Century" w:cs="Century Becker Schoolbook"/>
          <w:sz w:val="28"/>
          <w:szCs w:val="28"/>
        </w:rPr>
        <w:t xml:space="preserve"> the ability of the requester’s members (who were police officers, after all) to use this information to ferret o</w:t>
      </w:r>
      <w:r w:rsidRPr="00256085">
        <w:rPr>
          <w:rFonts w:ascii="Century" w:hAnsi="Century" w:cs="Century Becker Schoolbook"/>
          <w:sz w:val="28"/>
          <w:szCs w:val="28"/>
        </w:rPr>
        <w:t xml:space="preserve">ut the identities of the individuals in the “small subset” of senior officials who might have been disciplined. 124 A.3d at 79. However, this Court found no countervailing </w:t>
      </w:r>
      <w:r w:rsidRPr="00256085">
        <w:rPr>
          <w:rFonts w:ascii="Century" w:hAnsi="Century" w:cs="Century Becker Schoolbook"/>
          <w:i/>
          <w:iCs/>
          <w:sz w:val="28"/>
          <w:szCs w:val="28"/>
        </w:rPr>
        <w:t xml:space="preserve">public </w:t>
      </w:r>
      <w:r w:rsidRPr="00256085">
        <w:rPr>
          <w:rFonts w:ascii="Century" w:hAnsi="Century" w:cs="Century Becker Schoolbook"/>
          <w:sz w:val="28"/>
          <w:szCs w:val="28"/>
        </w:rPr>
        <w:t xml:space="preserve">interest (although disclosure might have served the FOP’s </w:t>
      </w:r>
      <w:r w:rsidRPr="00256085">
        <w:rPr>
          <w:rFonts w:ascii="Century" w:hAnsi="Century" w:cs="Century Becker Schoolbook"/>
          <w:i/>
          <w:iCs/>
          <w:sz w:val="28"/>
          <w:szCs w:val="28"/>
        </w:rPr>
        <w:t xml:space="preserve">private </w:t>
      </w:r>
      <w:r w:rsidRPr="00256085">
        <w:rPr>
          <w:rFonts w:ascii="Century" w:hAnsi="Century" w:cs="Century Becker Schoolbook"/>
          <w:sz w:val="28"/>
          <w:szCs w:val="28"/>
        </w:rPr>
        <w:t xml:space="preserve">interest). </w:t>
      </w:r>
      <w:r w:rsidRPr="00256085">
        <w:rPr>
          <w:rFonts w:ascii="Century" w:hAnsi="Century" w:cs="Century Becker Schoolbook"/>
          <w:sz w:val="28"/>
          <w:szCs w:val="28"/>
        </w:rPr>
        <w:t xml:space="preserve">Access was thus denied. </w:t>
      </w:r>
      <w:r w:rsidRPr="00256085">
        <w:rPr>
          <w:rFonts w:ascii="Century" w:hAnsi="Century" w:cs="Century Becker Schoolbook"/>
          <w:i/>
          <w:iCs/>
          <w:sz w:val="28"/>
          <w:szCs w:val="28"/>
        </w:rPr>
        <w:t>Accord U.S. Dep’t of Defense</w:t>
      </w:r>
    </w:p>
    <w:p w:rsidR="00000000" w:rsidRPr="00256085" w:rsidRDefault="00AE1CCA">
      <w:pPr>
        <w:tabs>
          <w:tab w:val="left" w:pos="-179"/>
        </w:tabs>
        <w:spacing w:line="480" w:lineRule="auto"/>
        <w:rPr>
          <w:rFonts w:ascii="Century" w:hAnsi="Century" w:cs="Century Becker Schoolbook"/>
          <w:sz w:val="28"/>
          <w:szCs w:val="28"/>
        </w:rPr>
      </w:pPr>
      <w:proofErr w:type="gramStart"/>
      <w:r w:rsidRPr="00256085">
        <w:rPr>
          <w:rFonts w:ascii="Century" w:hAnsi="Century" w:cs="Century Becker Schoolbook"/>
          <w:i/>
          <w:iCs/>
          <w:sz w:val="28"/>
          <w:szCs w:val="28"/>
        </w:rPr>
        <w:t>v</w:t>
      </w:r>
      <w:proofErr w:type="gramEnd"/>
      <w:r w:rsidRPr="00256085">
        <w:rPr>
          <w:rFonts w:ascii="Century" w:hAnsi="Century" w:cs="Century Becker Schoolbook"/>
          <w:i/>
          <w:iCs/>
          <w:sz w:val="28"/>
          <w:szCs w:val="28"/>
        </w:rPr>
        <w:t>. Fed. Labor Relations Auth.</w:t>
      </w:r>
      <w:r w:rsidRPr="00256085">
        <w:rPr>
          <w:rFonts w:ascii="Century" w:hAnsi="Century" w:cs="Century Becker Schoolbook"/>
          <w:sz w:val="28"/>
          <w:szCs w:val="28"/>
        </w:rPr>
        <w:t>, 510 U.S. 487, 795 (1993) (unions' request for home addresses of agency employees – many of whom are not union members – may advance unions’ interest, but would not inform c</w:t>
      </w:r>
      <w:r w:rsidRPr="00256085">
        <w:rPr>
          <w:rFonts w:ascii="Century" w:hAnsi="Century" w:cs="Century Becker Schoolbook"/>
          <w:sz w:val="28"/>
          <w:szCs w:val="28"/>
        </w:rPr>
        <w:t>itizens about “what their government is up to”) (internal citation omitted).</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lastRenderedPageBreak/>
        <w:tab/>
        <w:t>Here, Tax Analysts agrees that OTR can redact names and personal identifiers of the sort that OTR now redacts when it publishes these documents.  That will address any privacy co</w:t>
      </w:r>
      <w:r w:rsidRPr="00256085">
        <w:rPr>
          <w:rFonts w:ascii="Century" w:hAnsi="Century" w:cs="Century Becker Schoolbook"/>
          <w:sz w:val="28"/>
          <w:szCs w:val="28"/>
        </w:rPr>
        <w:t>ncerns.  The countervailing public interest is obvious, as evidenced by the fact that the IRS and 36 state revenue departments publish similar rulings with redactions that protect taxpayer privacy.</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But the Court need not take our word for it.  Perhaps the</w:t>
      </w:r>
      <w:r w:rsidRPr="00256085">
        <w:rPr>
          <w:rFonts w:ascii="Century" w:hAnsi="Century" w:cs="Century Becker Schoolbook"/>
          <w:sz w:val="28"/>
          <w:szCs w:val="28"/>
        </w:rPr>
        <w:t xml:space="preserve"> best argument for disclosure appears in that portion of the OTR web site that the trial court did not quote in its opinion, i.e., the statement in which OTR acknowledges that private letter rulings are valuable because </w:t>
      </w:r>
      <w:proofErr w:type="gramStart"/>
      <w:r w:rsidRPr="00256085">
        <w:rPr>
          <w:rFonts w:ascii="Century" w:hAnsi="Century" w:cs="Century Becker Schoolbook"/>
          <w:sz w:val="28"/>
          <w:szCs w:val="28"/>
        </w:rPr>
        <w:t>they  7</w:t>
      </w:r>
      <w:proofErr w:type="gramEnd"/>
      <w:r w:rsidRPr="00256085">
        <w:rPr>
          <w:rFonts w:ascii="Century" w:hAnsi="Century" w:cs="Century Becker Schoolbook"/>
          <w:sz w:val="28"/>
          <w:szCs w:val="28"/>
        </w:rPr>
        <w:t xml:space="preserve"> (the OTR website) acknowledg</w:t>
      </w:r>
      <w:r w:rsidRPr="00256085">
        <w:rPr>
          <w:rFonts w:ascii="Century" w:hAnsi="Century" w:cs="Century Becker Schoolbook"/>
          <w:sz w:val="28"/>
          <w:szCs w:val="28"/>
        </w:rPr>
        <w:t>es the public interest in access to PLRs because they “provide guidance to other District taxpayers as to the interpretation and development of the D.C. tax code” (J.A. __).</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Tax Analysts agrees.  That is why we are pursuing this case and that is why we as</w:t>
      </w:r>
      <w:r w:rsidRPr="00256085">
        <w:rPr>
          <w:rFonts w:ascii="Century" w:hAnsi="Century" w:cs="Century Becker Schoolbook"/>
          <w:sz w:val="28"/>
          <w:szCs w:val="28"/>
        </w:rPr>
        <w:t>k this Court to reverse the judgment and to order disclosure of the requested private letter rulings and names and personal identifiers redacted.</w:t>
      </w:r>
    </w:p>
    <w:p w:rsidR="00000000" w:rsidRPr="00256085" w:rsidRDefault="00AE1CCA">
      <w:pPr>
        <w:tabs>
          <w:tab w:val="left" w:pos="-179"/>
        </w:tabs>
        <w:spacing w:line="480" w:lineRule="auto"/>
        <w:jc w:val="center"/>
        <w:rPr>
          <w:rFonts w:ascii="Century" w:hAnsi="Century" w:cs="Century Becker Schoolbook"/>
          <w:sz w:val="28"/>
          <w:szCs w:val="28"/>
        </w:rPr>
      </w:pPr>
      <w:r w:rsidRPr="00256085">
        <w:rPr>
          <w:rFonts w:ascii="Century" w:hAnsi="Century" w:cs="Century Becker Schoolbook"/>
          <w:b/>
          <w:bCs/>
          <w:sz w:val="28"/>
          <w:szCs w:val="28"/>
          <w:u w:val="single"/>
        </w:rPr>
        <w:lastRenderedPageBreak/>
        <w:t>CONCLUSION</w:t>
      </w:r>
    </w:p>
    <w:p w:rsidR="00000000" w:rsidRPr="00256085" w:rsidRDefault="00AE1CCA">
      <w:pPr>
        <w:tabs>
          <w:tab w:val="left" w:pos="-179"/>
        </w:tabs>
        <w:spacing w:line="480" w:lineRule="auto"/>
        <w:rPr>
          <w:rFonts w:ascii="Century" w:hAnsi="Century" w:cs="Century Becker Schoolbook"/>
          <w:sz w:val="28"/>
          <w:szCs w:val="28"/>
        </w:rPr>
      </w:pPr>
      <w:r w:rsidRPr="00256085">
        <w:rPr>
          <w:rFonts w:ascii="Century" w:hAnsi="Century" w:cs="Century Becker Schoolbook"/>
          <w:sz w:val="28"/>
          <w:szCs w:val="28"/>
        </w:rPr>
        <w:tab/>
        <w:t>For these reasons the judgment should be reversed.</w:t>
      </w:r>
    </w:p>
    <w:p w:rsidR="00000000" w:rsidRPr="00256085" w:rsidRDefault="00AE1CCA">
      <w:pPr>
        <w:tabs>
          <w:tab w:val="left" w:pos="-179"/>
        </w:tabs>
        <w:spacing w:line="480" w:lineRule="auto"/>
        <w:ind w:left="3600"/>
        <w:rPr>
          <w:rFonts w:ascii="Century" w:hAnsi="Century" w:cs="Century Becker Schoolbook"/>
          <w:sz w:val="28"/>
          <w:szCs w:val="28"/>
        </w:rPr>
      </w:pPr>
      <w:r w:rsidRPr="00256085">
        <w:rPr>
          <w:rFonts w:ascii="Century" w:hAnsi="Century" w:cs="Century Becker Schoolbook"/>
          <w:sz w:val="28"/>
          <w:szCs w:val="28"/>
        </w:rPr>
        <w:t>Respectfully submitted,</w:t>
      </w:r>
    </w:p>
    <w:p w:rsidR="00000000" w:rsidRPr="00256085" w:rsidRDefault="00AE1CCA">
      <w:pPr>
        <w:tabs>
          <w:tab w:val="left" w:pos="-179"/>
        </w:tabs>
        <w:spacing w:line="480" w:lineRule="auto"/>
        <w:rPr>
          <w:rFonts w:ascii="Century" w:hAnsi="Century" w:cs="Century Becker Schoolbook"/>
          <w:sz w:val="28"/>
          <w:szCs w:val="28"/>
        </w:rPr>
      </w:pPr>
    </w:p>
    <w:p w:rsidR="00000000" w:rsidRPr="00256085" w:rsidRDefault="00AE1CCA">
      <w:pPr>
        <w:tabs>
          <w:tab w:val="left" w:pos="-179"/>
        </w:tabs>
        <w:ind w:left="3600"/>
        <w:rPr>
          <w:rFonts w:ascii="Century" w:hAnsi="Century" w:cs="Century Becker Schoolbook"/>
          <w:sz w:val="28"/>
          <w:szCs w:val="28"/>
        </w:rPr>
      </w:pPr>
      <w:r w:rsidRPr="00256085">
        <w:rPr>
          <w:rFonts w:ascii="Century" w:hAnsi="Century" w:cs="Century Becker Schoolbook"/>
          <w:sz w:val="28"/>
          <w:szCs w:val="28"/>
        </w:rPr>
        <w:t>______________________</w:t>
      </w:r>
      <w:r w:rsidRPr="00256085">
        <w:rPr>
          <w:rFonts w:ascii="Century" w:hAnsi="Century" w:cs="Century Becker Schoolbook"/>
          <w:sz w:val="28"/>
          <w:szCs w:val="28"/>
        </w:rPr>
        <w:t>___________________</w:t>
      </w:r>
    </w:p>
    <w:p w:rsidR="00000000" w:rsidRPr="00256085" w:rsidRDefault="00AE1CCA">
      <w:pPr>
        <w:tabs>
          <w:tab w:val="left" w:pos="-179"/>
        </w:tabs>
        <w:ind w:left="3600" w:hanging="360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Cornish F. Hitchcock (D.C. </w:t>
      </w:r>
      <w:proofErr w:type="gramStart"/>
      <w:r w:rsidRPr="00256085">
        <w:rPr>
          <w:rFonts w:ascii="Century" w:hAnsi="Century" w:cs="Century Becker Schoolbook"/>
          <w:sz w:val="28"/>
          <w:szCs w:val="28"/>
        </w:rPr>
        <w:t>Bar</w:t>
      </w:r>
      <w:proofErr w:type="gramEnd"/>
      <w:r w:rsidRPr="00256085">
        <w:rPr>
          <w:rFonts w:ascii="Century" w:hAnsi="Century" w:cs="Century Becker Schoolbook"/>
          <w:sz w:val="28"/>
          <w:szCs w:val="28"/>
        </w:rPr>
        <w:t xml:space="preserve"> No. 238824)</w:t>
      </w:r>
    </w:p>
    <w:p w:rsidR="00000000" w:rsidRPr="00256085" w:rsidRDefault="00AE1CCA">
      <w:pPr>
        <w:tabs>
          <w:tab w:val="left" w:pos="-179"/>
        </w:tabs>
        <w:ind w:left="2880" w:hanging="288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  </w:t>
      </w:r>
      <w:r w:rsidRPr="00256085">
        <w:rPr>
          <w:rFonts w:ascii="Century" w:hAnsi="Century" w:cs="Century Becker Schoolbook"/>
          <w:smallCaps/>
          <w:sz w:val="28"/>
          <w:szCs w:val="28"/>
        </w:rPr>
        <w:t>Hitchcock Law Firm PLLC</w:t>
      </w:r>
    </w:p>
    <w:p w:rsidR="00000000" w:rsidRPr="00256085" w:rsidRDefault="00AE1CCA">
      <w:pPr>
        <w:tabs>
          <w:tab w:val="left" w:pos="-179"/>
        </w:tabs>
        <w:ind w:left="3600" w:hanging="360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  5614 Connecticut Avenue, NW No. 304</w:t>
      </w:r>
    </w:p>
    <w:p w:rsidR="00000000" w:rsidRPr="00256085" w:rsidRDefault="00AE1CCA">
      <w:pPr>
        <w:tabs>
          <w:tab w:val="left" w:pos="-179"/>
        </w:tabs>
        <w:ind w:left="3600" w:hanging="360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  Washington, D.C.   20015-2604</w:t>
      </w:r>
    </w:p>
    <w:p w:rsidR="00000000" w:rsidRPr="00256085" w:rsidRDefault="00AE1CCA">
      <w:pPr>
        <w:tabs>
          <w:tab w:val="left" w:pos="-179"/>
        </w:tabs>
        <w:ind w:left="3600" w:hanging="360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  (202) 489-4813   Fax: (202) 315-3552</w:t>
      </w:r>
    </w:p>
    <w:p w:rsidR="00000000" w:rsidRPr="00256085" w:rsidRDefault="00AE1CCA">
      <w:pPr>
        <w:tabs>
          <w:tab w:val="left" w:pos="-179"/>
        </w:tabs>
        <w:ind w:left="3600" w:hanging="360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   E-mail: conh@hitchlaw.com</w:t>
      </w:r>
    </w:p>
    <w:p w:rsidR="00000000" w:rsidRPr="00256085" w:rsidRDefault="00AE1CCA">
      <w:pPr>
        <w:tabs>
          <w:tab w:val="left" w:pos="-179"/>
        </w:tabs>
        <w:ind w:left="3600" w:hanging="3600"/>
        <w:rPr>
          <w:rFonts w:ascii="Century" w:hAnsi="Century" w:cs="Century Becker Schoolbook"/>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 xml:space="preserve">Attorney for Plaintiffs-Appellants </w:t>
      </w:r>
    </w:p>
    <w:p w:rsidR="00000000" w:rsidRPr="00256085" w:rsidRDefault="00AE1CCA">
      <w:pPr>
        <w:tabs>
          <w:tab w:val="left" w:pos="-179"/>
        </w:tabs>
        <w:rPr>
          <w:rFonts w:ascii="Century" w:hAnsi="Century" w:cs="Century Becker Schoolbook"/>
          <w:sz w:val="28"/>
          <w:szCs w:val="28"/>
        </w:rPr>
      </w:pPr>
      <w:r w:rsidRPr="00256085">
        <w:rPr>
          <w:rFonts w:ascii="Century" w:hAnsi="Century" w:cs="Century Becker Schoolbook"/>
          <w:sz w:val="28"/>
          <w:szCs w:val="28"/>
        </w:rPr>
        <w:t>__ March 2021</w:t>
      </w:r>
    </w:p>
    <w:p w:rsidR="00000000" w:rsidRPr="00256085" w:rsidRDefault="00AE1CCA">
      <w:pPr>
        <w:tabs>
          <w:tab w:val="left" w:pos="-179"/>
        </w:tabs>
        <w:rPr>
          <w:rFonts w:ascii="Century" w:hAnsi="Century" w:cs="Century Becker Schoolbook"/>
          <w:sz w:val="28"/>
          <w:szCs w:val="28"/>
        </w:rPr>
      </w:pPr>
    </w:p>
    <w:p w:rsidR="00000000" w:rsidRPr="00256085" w:rsidRDefault="00AE1CCA">
      <w:pPr>
        <w:tabs>
          <w:tab w:val="left" w:pos="-179"/>
        </w:tabs>
        <w:rPr>
          <w:rFonts w:ascii="Century" w:hAnsi="Century" w:cs="Century Becker Schoolbook"/>
          <w:sz w:val="28"/>
          <w:szCs w:val="28"/>
        </w:rPr>
      </w:pPr>
    </w:p>
    <w:p w:rsidR="00000000" w:rsidRPr="00256085" w:rsidRDefault="00AE1CCA">
      <w:pPr>
        <w:tabs>
          <w:tab w:val="left" w:pos="-179"/>
        </w:tabs>
        <w:jc w:val="center"/>
        <w:rPr>
          <w:rFonts w:ascii="Century" w:hAnsi="Century" w:cs="Century Becker Schoolbook"/>
          <w:sz w:val="28"/>
          <w:szCs w:val="28"/>
        </w:rPr>
      </w:pPr>
      <w:r w:rsidRPr="00256085">
        <w:rPr>
          <w:rFonts w:ascii="Century" w:hAnsi="Century" w:cs="Century Becker Schoolbook"/>
          <w:sz w:val="28"/>
          <w:szCs w:val="28"/>
          <w:u w:val="single"/>
        </w:rPr>
        <w:t>CERTIFICATE OF SERVICE</w:t>
      </w:r>
    </w:p>
    <w:p w:rsidR="00000000" w:rsidRPr="00256085" w:rsidRDefault="00AE1CCA">
      <w:pPr>
        <w:tabs>
          <w:tab w:val="left" w:pos="-179"/>
        </w:tabs>
        <w:rPr>
          <w:rFonts w:ascii="Century" w:hAnsi="Century" w:cs="Century Becker Schoolbook"/>
          <w:sz w:val="28"/>
          <w:szCs w:val="28"/>
        </w:rPr>
      </w:pPr>
      <w:r w:rsidRPr="00256085">
        <w:rPr>
          <w:rFonts w:ascii="Century" w:hAnsi="Century" w:cs="Century Becker Schoolbook"/>
          <w:sz w:val="28"/>
          <w:szCs w:val="28"/>
        </w:rPr>
        <w:tab/>
        <w:t xml:space="preserve">I hereby certify that copies of this brief and the joint appendix were served electronically and by courier this _____ day of March, 2021 upon Caroline Van </w:t>
      </w:r>
      <w:proofErr w:type="spellStart"/>
      <w:r w:rsidRPr="00256085">
        <w:rPr>
          <w:rFonts w:ascii="Century" w:hAnsi="Century" w:cs="Century Becker Schoolbook"/>
          <w:sz w:val="28"/>
          <w:szCs w:val="28"/>
        </w:rPr>
        <w:t>Zile</w:t>
      </w:r>
      <w:proofErr w:type="spellEnd"/>
      <w:r w:rsidRPr="00256085">
        <w:rPr>
          <w:rFonts w:ascii="Century" w:hAnsi="Century" w:cs="Century Becker Schoolbook"/>
          <w:sz w:val="28"/>
          <w:szCs w:val="28"/>
        </w:rPr>
        <w:t>, Principal Dep</w:t>
      </w:r>
      <w:r w:rsidRPr="00256085">
        <w:rPr>
          <w:rFonts w:ascii="Century" w:hAnsi="Century" w:cs="Century Becker Schoolbook"/>
          <w:sz w:val="28"/>
          <w:szCs w:val="28"/>
        </w:rPr>
        <w:t xml:space="preserve">uty Solicitor General, </w:t>
      </w:r>
      <w:proofErr w:type="gramStart"/>
      <w:r w:rsidRPr="00256085">
        <w:rPr>
          <w:rFonts w:ascii="Century" w:hAnsi="Century" w:cs="Century Becker Schoolbook"/>
          <w:sz w:val="28"/>
          <w:szCs w:val="28"/>
        </w:rPr>
        <w:t>400</w:t>
      </w:r>
      <w:proofErr w:type="gramEnd"/>
      <w:r w:rsidRPr="00256085">
        <w:rPr>
          <w:rFonts w:ascii="Century" w:hAnsi="Century" w:cs="Century Becker Schoolbook"/>
          <w:sz w:val="28"/>
          <w:szCs w:val="28"/>
        </w:rPr>
        <w:t xml:space="preserve"> Sixth Street, NW, Washington, DC   20001.  </w:t>
      </w:r>
    </w:p>
    <w:p w:rsidR="00000000" w:rsidRPr="00256085" w:rsidRDefault="00AE1CCA">
      <w:pPr>
        <w:tabs>
          <w:tab w:val="left" w:pos="-179"/>
        </w:tabs>
        <w:rPr>
          <w:rFonts w:ascii="Century" w:hAnsi="Century" w:cs="Century Becker Schoolbook"/>
          <w:sz w:val="28"/>
          <w:szCs w:val="28"/>
        </w:rPr>
      </w:pPr>
    </w:p>
    <w:p w:rsidR="00000000" w:rsidRPr="00256085" w:rsidRDefault="00AE1CCA">
      <w:pPr>
        <w:tabs>
          <w:tab w:val="left" w:pos="-179"/>
        </w:tabs>
        <w:rPr>
          <w:rFonts w:ascii="Century" w:hAnsi="Century" w:cs="Century Becker Schoolbook"/>
          <w:sz w:val="28"/>
          <w:szCs w:val="28"/>
        </w:rPr>
      </w:pPr>
    </w:p>
    <w:p w:rsidR="00000000" w:rsidRPr="00256085" w:rsidRDefault="00AE1CCA">
      <w:pPr>
        <w:tabs>
          <w:tab w:val="left" w:pos="-179"/>
        </w:tabs>
        <w:ind w:left="3600"/>
        <w:rPr>
          <w:rFonts w:ascii="Century" w:hAnsi="Century" w:cs="Century Becker Schoolbook"/>
          <w:sz w:val="28"/>
          <w:szCs w:val="28"/>
        </w:rPr>
      </w:pPr>
      <w:r w:rsidRPr="00256085">
        <w:rPr>
          <w:rFonts w:ascii="Century" w:hAnsi="Century" w:cs="Century Becker Schoolbook"/>
          <w:sz w:val="28"/>
          <w:szCs w:val="28"/>
        </w:rPr>
        <w:t>_________________________________________</w:t>
      </w:r>
    </w:p>
    <w:p w:rsidR="00000000" w:rsidRPr="00256085" w:rsidRDefault="00AE1CCA">
      <w:pPr>
        <w:tabs>
          <w:tab w:val="left" w:pos="-179"/>
        </w:tabs>
        <w:ind w:left="3600" w:hanging="3600"/>
        <w:rPr>
          <w:rFonts w:ascii="Century" w:hAnsi="Century"/>
          <w:sz w:val="28"/>
          <w:szCs w:val="28"/>
        </w:rPr>
      </w:pP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r>
      <w:r w:rsidRPr="00256085">
        <w:rPr>
          <w:rFonts w:ascii="Century" w:hAnsi="Century" w:cs="Century Becker Schoolbook"/>
          <w:sz w:val="28"/>
          <w:szCs w:val="28"/>
        </w:rPr>
        <w:tab/>
        <w:t>Cornish F. Hitchcock</w:t>
      </w:r>
    </w:p>
    <w:sectPr w:rsidR="00000000" w:rsidRPr="00256085">
      <w:footerReference w:type="default" r:id="rId45"/>
      <w:type w:val="continuous"/>
      <w:pgSz w:w="12240" w:h="15840"/>
      <w:pgMar w:top="1440" w:right="1440" w:bottom="90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E1CCA">
      <w:r>
        <w:separator/>
      </w:r>
    </w:p>
  </w:endnote>
  <w:endnote w:type="continuationSeparator" w:id="0">
    <w:p w:rsidR="00000000" w:rsidRDefault="00AE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Old English Text MT">
    <w:panose1 w:val="00000000000000000000"/>
    <w:charset w:val="00"/>
    <w:family w:val="script"/>
    <w:notTrueType/>
    <w:pitch w:val="variable"/>
    <w:sig w:usb0="00000003" w:usb1="00000000" w:usb2="00000000" w:usb3="00000000" w:csb0="00000001" w:csb1="00000000"/>
  </w:font>
  <w:font w:name="Olde English">
    <w:panose1 w:val="04020500000000000000"/>
    <w:charset w:val="00"/>
    <w:family w:val="decorative"/>
    <w:pitch w:val="variable"/>
    <w:sig w:usb0="00000003" w:usb1="00000000" w:usb2="00000000" w:usb3="00000000" w:csb0="00000001" w:csb1="00000000"/>
  </w:font>
  <w:font w:name="Century Becker Schoolbook">
    <w:panose1 w:val="02040603050905020303"/>
    <w:charset w:val="00"/>
    <w:family w:val="roman"/>
    <w:pitch w:val="variable"/>
    <w:sig w:usb0="800000AF" w:usb1="0000204A" w:usb2="00000000" w:usb3="00000000" w:csb0="00000011" w:csb1="00000000"/>
  </w:font>
  <w:font w:name="Century">
    <w:panose1 w:val="02040604050505020304"/>
    <w:charset w:val="00"/>
    <w:family w:val="roman"/>
    <w:pitch w:val="variable"/>
    <w:sig w:usb0="00000287" w:usb1="00000000" w:usb2="00000000" w:usb3="00000000" w:csb0="0000009F" w:csb1="00000000"/>
  </w:font>
  <w:font w:name="TimesNew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w:instrText>
    </w:r>
    <w:r>
      <w:rPr>
        <w:rFonts w:ascii="Times New Roman" w:hAnsi="Times New Roman" w:cs="Times New Roman"/>
        <w:sz w:val="24"/>
        <w:szCs w:val="24"/>
      </w:rPr>
      <w:fldChar w:fldCharType="end"/>
    </w:r>
  </w:p>
  <w:p w:rsidR="00000000" w:rsidRDefault="00AE1CCA">
    <w:pPr>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iv</w:t>
    </w:r>
    <w:r>
      <w:rPr>
        <w:sz w:val="28"/>
        <w:szCs w:val="28"/>
      </w:rPr>
      <w:fldChar w:fldCharType="end"/>
    </w:r>
  </w:p>
  <w:p w:rsidR="00000000" w:rsidRDefault="00AE1CCA">
    <w:pP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vi</w:t>
    </w:r>
    <w:r>
      <w:rPr>
        <w:sz w:val="28"/>
        <w:szCs w:val="28"/>
      </w:rPr>
      <w:fldChar w:fldCharType="end"/>
    </w:r>
  </w:p>
  <w:p w:rsidR="00000000" w:rsidRDefault="00AE1CCA">
    <w:pPr>
      <w:rPr>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Pr>
        <w:sz w:val="28"/>
        <w:szCs w:val="28"/>
      </w:rPr>
      <w:fldChar w:fldCharType="end"/>
    </w:r>
  </w:p>
  <w:p w:rsidR="00000000" w:rsidRDefault="00AE1CCA">
    <w:pPr>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2</w:t>
    </w:r>
    <w:r>
      <w:rPr>
        <w:sz w:val="28"/>
        <w:szCs w:val="28"/>
      </w:rPr>
      <w:fldChar w:fldCharType="end"/>
    </w:r>
  </w:p>
  <w:p w:rsidR="00000000" w:rsidRDefault="00AE1CCA">
    <w:pPr>
      <w:rPr>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3</w:t>
    </w:r>
    <w:r>
      <w:rPr>
        <w:sz w:val="28"/>
        <w:szCs w:val="28"/>
      </w:rPr>
      <w:fldChar w:fldCharType="end"/>
    </w:r>
  </w:p>
  <w:p w:rsidR="00000000" w:rsidRDefault="00AE1CCA">
    <w:pPr>
      <w:rPr>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5</w:t>
    </w:r>
    <w:r>
      <w:rPr>
        <w:sz w:val="28"/>
        <w:szCs w:val="28"/>
      </w:rPr>
      <w:fldChar w:fldCharType="end"/>
    </w:r>
  </w:p>
  <w:p w:rsidR="00000000" w:rsidRDefault="00AE1CCA">
    <w:pPr>
      <w:rPr>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256085">
      <w:rPr>
        <w:noProof/>
        <w:sz w:val="28"/>
        <w:szCs w:val="28"/>
      </w:rPr>
      <w:t>6</w:t>
    </w:r>
    <w:r>
      <w:rPr>
        <w:sz w:val="28"/>
        <w:szCs w:val="28"/>
      </w:rPr>
      <w:fldChar w:fldCharType="end"/>
    </w:r>
  </w:p>
  <w:p w:rsidR="00000000" w:rsidRDefault="00AE1CCA">
    <w:pPr>
      <w:rPr>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8</w:t>
    </w:r>
    <w:r>
      <w:rPr>
        <w:sz w:val="28"/>
        <w:szCs w:val="28"/>
      </w:rPr>
      <w:fldChar w:fldCharType="end"/>
    </w:r>
  </w:p>
  <w:p w:rsidR="00000000" w:rsidRDefault="00AE1CCA">
    <w:pPr>
      <w:rPr>
        <w:sz w:val="24"/>
        <w:szCs w:val="24"/>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256085">
      <w:rPr>
        <w:noProof/>
        <w:sz w:val="28"/>
        <w:szCs w:val="28"/>
      </w:rPr>
      <w:t>8</w:t>
    </w:r>
    <w:r>
      <w:rPr>
        <w:sz w:val="28"/>
        <w:szCs w:val="28"/>
      </w:rPr>
      <w:fldChar w:fldCharType="end"/>
    </w:r>
  </w:p>
  <w:p w:rsidR="00000000" w:rsidRDefault="00AE1CCA">
    <w:pPr>
      <w:rPr>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256085">
      <w:rPr>
        <w:noProof/>
        <w:sz w:val="28"/>
        <w:szCs w:val="28"/>
      </w:rPr>
      <w:t>8</w:t>
    </w:r>
    <w:r>
      <w:rPr>
        <w:sz w:val="28"/>
        <w:szCs w:val="28"/>
      </w:rPr>
      <w:fldChar w:fldCharType="end"/>
    </w:r>
  </w:p>
  <w:p w:rsidR="00000000" w:rsidRDefault="00AE1CCA">
    <w:pPr>
      <w:rPr>
        <w:sz w:val="24"/>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Pr>
        <w:sz w:val="28"/>
        <w:szCs w:val="28"/>
      </w:rPr>
      <w:fldChar w:fldCharType="end"/>
    </w:r>
  </w:p>
  <w:p w:rsidR="00000000" w:rsidRDefault="00AE1CCA">
    <w:pPr>
      <w:rPr>
        <w:sz w:val="24"/>
        <w:szCs w:val="24"/>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256085">
      <w:rPr>
        <w:noProof/>
        <w:sz w:val="28"/>
        <w:szCs w:val="28"/>
      </w:rPr>
      <w:t>9</w:t>
    </w:r>
    <w:r>
      <w:rPr>
        <w:sz w:val="28"/>
        <w:szCs w:val="28"/>
      </w:rPr>
      <w:fldChar w:fldCharType="end"/>
    </w:r>
  </w:p>
  <w:p w:rsidR="00000000" w:rsidRDefault="00AE1CCA">
    <w:pPr>
      <w:rPr>
        <w:sz w:val="24"/>
        <w:szCs w:val="2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3E1990">
      <w:rPr>
        <w:sz w:val="28"/>
        <w:szCs w:val="28"/>
      </w:rPr>
      <w:fldChar w:fldCharType="separate"/>
    </w:r>
    <w:r w:rsidR="003E1990">
      <w:rPr>
        <w:noProof/>
        <w:sz w:val="28"/>
        <w:szCs w:val="28"/>
      </w:rPr>
      <w:t>9</w:t>
    </w:r>
    <w:r>
      <w:rPr>
        <w:sz w:val="28"/>
        <w:szCs w:val="28"/>
      </w:rPr>
      <w:fldChar w:fldCharType="end"/>
    </w:r>
  </w:p>
  <w:p w:rsidR="00000000" w:rsidRDefault="00AE1CCA">
    <w:pPr>
      <w:rPr>
        <w:sz w:val="24"/>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15</w:t>
    </w:r>
    <w:r>
      <w:rPr>
        <w:sz w:val="28"/>
        <w:szCs w:val="28"/>
      </w:rPr>
      <w:fldChar w:fldCharType="end"/>
    </w:r>
  </w:p>
  <w:p w:rsidR="00000000" w:rsidRDefault="00AE1CCA">
    <w:pPr>
      <w:rPr>
        <w:sz w:val="24"/>
        <w:szCs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16</w:t>
    </w:r>
    <w:r>
      <w:rPr>
        <w:sz w:val="28"/>
        <w:szCs w:val="28"/>
      </w:rPr>
      <w:fldChar w:fldCharType="end"/>
    </w:r>
  </w:p>
  <w:p w:rsidR="00000000" w:rsidRDefault="00AE1CCA">
    <w:pPr>
      <w:rPr>
        <w:sz w:val="24"/>
        <w:szCs w:val="24"/>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16</w:t>
    </w:r>
    <w:r>
      <w:rPr>
        <w:sz w:val="28"/>
        <w:szCs w:val="28"/>
      </w:rPr>
      <w:fldChar w:fldCharType="end"/>
    </w:r>
  </w:p>
  <w:p w:rsidR="00000000" w:rsidRDefault="00AE1CCA">
    <w:pPr>
      <w:rPr>
        <w:sz w:val="24"/>
        <w:szCs w:val="24"/>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3E1990">
      <w:rPr>
        <w:sz w:val="28"/>
        <w:szCs w:val="28"/>
      </w:rPr>
      <w:fldChar w:fldCharType="separate"/>
    </w:r>
    <w:r w:rsidR="003E1990">
      <w:rPr>
        <w:noProof/>
        <w:sz w:val="28"/>
        <w:szCs w:val="28"/>
      </w:rPr>
      <w:t>17</w:t>
    </w:r>
    <w:r>
      <w:rPr>
        <w:sz w:val="28"/>
        <w:szCs w:val="28"/>
      </w:rPr>
      <w:fldChar w:fldCharType="end"/>
    </w:r>
  </w:p>
  <w:p w:rsidR="00000000" w:rsidRDefault="00AE1CCA">
    <w:pPr>
      <w:rPr>
        <w:sz w:val="24"/>
        <w:szCs w:val="24"/>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3E1990">
      <w:rPr>
        <w:sz w:val="28"/>
        <w:szCs w:val="28"/>
      </w:rPr>
      <w:fldChar w:fldCharType="separate"/>
    </w:r>
    <w:r>
      <w:rPr>
        <w:noProof/>
        <w:sz w:val="28"/>
        <w:szCs w:val="28"/>
      </w:rPr>
      <w:t>17</w:t>
    </w:r>
    <w:r>
      <w:rPr>
        <w:sz w:val="28"/>
        <w:szCs w:val="28"/>
      </w:rPr>
      <w:fldChar w:fldCharType="end"/>
    </w:r>
  </w:p>
  <w:p w:rsidR="00000000" w:rsidRDefault="00AE1CCA">
    <w:pPr>
      <w:rPr>
        <w:sz w:val="24"/>
        <w:szCs w:val="24"/>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17</w:t>
    </w:r>
    <w:r>
      <w:rPr>
        <w:sz w:val="28"/>
        <w:szCs w:val="28"/>
      </w:rPr>
      <w:fldChar w:fldCharType="end"/>
    </w:r>
  </w:p>
  <w:p w:rsidR="00000000" w:rsidRDefault="00AE1CCA">
    <w:pPr>
      <w:rPr>
        <w:sz w:val="24"/>
        <w:szCs w:val="24"/>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19</w:t>
    </w:r>
    <w:r>
      <w:rPr>
        <w:sz w:val="28"/>
        <w:szCs w:val="28"/>
      </w:rPr>
      <w:fldChar w:fldCharType="end"/>
    </w:r>
  </w:p>
  <w:p w:rsidR="00000000" w:rsidRDefault="00AE1CCA">
    <w:pPr>
      <w:rPr>
        <w:sz w:val="24"/>
        <w:szCs w:val="24"/>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3E1990">
      <w:rPr>
        <w:sz w:val="28"/>
        <w:szCs w:val="28"/>
      </w:rPr>
      <w:fldChar w:fldCharType="separate"/>
    </w:r>
    <w:r>
      <w:rPr>
        <w:noProof/>
        <w:sz w:val="28"/>
        <w:szCs w:val="28"/>
      </w:rPr>
      <w:t>20</w:t>
    </w:r>
    <w:r>
      <w:rPr>
        <w:sz w:val="28"/>
        <w:szCs w:val="28"/>
      </w:rPr>
      <w:fldChar w:fldCharType="end"/>
    </w:r>
  </w:p>
  <w:p w:rsidR="00000000" w:rsidRDefault="00AE1CCA">
    <w:pPr>
      <w:rPr>
        <w:sz w:val="24"/>
        <w:szCs w:val="24"/>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21</w:t>
    </w:r>
    <w:r>
      <w:rPr>
        <w:sz w:val="28"/>
        <w:szCs w:val="28"/>
      </w:rPr>
      <w:fldChar w:fldCharType="end"/>
    </w:r>
  </w:p>
  <w:p w:rsidR="00000000" w:rsidRDefault="00AE1CCA">
    <w:pPr>
      <w:rPr>
        <w:sz w:val="24"/>
        <w:szCs w:val="24"/>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23</w:t>
    </w:r>
    <w:r>
      <w:rPr>
        <w:sz w:val="28"/>
        <w:szCs w:val="28"/>
      </w:rPr>
      <w:fldChar w:fldCharType="end"/>
    </w:r>
  </w:p>
  <w:p w:rsidR="00000000" w:rsidRDefault="00AE1CCA">
    <w:pPr>
      <w:rPr>
        <w:sz w:val="24"/>
        <w:szCs w:val="24"/>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w:instrText>
    </w:r>
    <w:r>
      <w:rPr>
        <w:sz w:val="28"/>
        <w:szCs w:val="28"/>
      </w:rPr>
      <w:instrText xml:space="preserve">PAGE  </w:instrText>
    </w:r>
    <w:r w:rsidR="00256085">
      <w:rPr>
        <w:sz w:val="28"/>
        <w:szCs w:val="28"/>
      </w:rPr>
      <w:fldChar w:fldCharType="separate"/>
    </w:r>
    <w:r>
      <w:rPr>
        <w:noProof/>
        <w:sz w:val="28"/>
        <w:szCs w:val="28"/>
      </w:rPr>
      <w:t>21</w:t>
    </w:r>
    <w:r>
      <w:rPr>
        <w:sz w:val="28"/>
        <w:szCs w:val="28"/>
      </w:rPr>
      <w:fldChar w:fldCharType="end"/>
    </w:r>
  </w:p>
  <w:p w:rsidR="00000000" w:rsidRDefault="00AE1CCA">
    <w:pPr>
      <w:rPr>
        <w:sz w:val="24"/>
        <w:szCs w:val="24"/>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23</w:t>
    </w:r>
    <w:r>
      <w:rPr>
        <w:sz w:val="28"/>
        <w:szCs w:val="28"/>
      </w:rPr>
      <w:fldChar w:fldCharType="end"/>
    </w:r>
  </w:p>
  <w:p w:rsidR="00000000" w:rsidRDefault="00AE1CCA">
    <w:pPr>
      <w:rPr>
        <w:sz w:val="24"/>
        <w:szCs w:val="24"/>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29</w:t>
    </w:r>
    <w:r>
      <w:rPr>
        <w:sz w:val="28"/>
        <w:szCs w:val="28"/>
      </w:rPr>
      <w:fldChar w:fldCharType="end"/>
    </w:r>
  </w:p>
  <w:p w:rsidR="00000000" w:rsidRDefault="00AE1CCA">
    <w:pPr>
      <w:rPr>
        <w:sz w:val="24"/>
        <w:szCs w:val="24"/>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Pr>
        <w:sz w:val="28"/>
        <w:szCs w:val="28"/>
      </w:rPr>
      <w:fldChar w:fldCharType="end"/>
    </w:r>
  </w:p>
  <w:p w:rsidR="00000000" w:rsidRDefault="00AE1CCA">
    <w:pPr>
      <w:rPr>
        <w:sz w:val="24"/>
        <w:szCs w:val="24"/>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256085">
      <w:rPr>
        <w:noProof/>
        <w:sz w:val="28"/>
        <w:szCs w:val="28"/>
      </w:rPr>
      <w:t>25</w:t>
    </w:r>
    <w:r>
      <w:rPr>
        <w:sz w:val="28"/>
        <w:szCs w:val="28"/>
      </w:rPr>
      <w:fldChar w:fldCharType="end"/>
    </w:r>
  </w:p>
  <w:p w:rsidR="00000000" w:rsidRDefault="00AE1CCA">
    <w:pPr>
      <w:rPr>
        <w:sz w:val="24"/>
        <w:szCs w:val="24"/>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Pr>
        <w:sz w:val="28"/>
        <w:szCs w:val="28"/>
      </w:rPr>
      <w:fldChar w:fldCharType="end"/>
    </w:r>
  </w:p>
  <w:p w:rsidR="00000000" w:rsidRDefault="00AE1CCA">
    <w:pPr>
      <w:rPr>
        <w:sz w:val="24"/>
        <w:szCs w:val="24"/>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24</w:t>
    </w:r>
    <w:r>
      <w:rPr>
        <w:sz w:val="28"/>
        <w:szCs w:val="28"/>
      </w:rPr>
      <w:fldChar w:fldCharType="end"/>
    </w:r>
  </w:p>
  <w:p w:rsidR="00000000" w:rsidRDefault="00AE1CCA">
    <w:pPr>
      <w:rPr>
        <w:sz w:val="24"/>
        <w:szCs w:val="24"/>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256085">
      <w:rPr>
        <w:noProof/>
        <w:sz w:val="28"/>
        <w:szCs w:val="28"/>
      </w:rPr>
      <w:t>26</w:t>
    </w:r>
    <w:r>
      <w:rPr>
        <w:sz w:val="28"/>
        <w:szCs w:val="28"/>
      </w:rPr>
      <w:fldChar w:fldCharType="end"/>
    </w:r>
  </w:p>
  <w:p w:rsidR="00000000" w:rsidRDefault="00AE1CCA">
    <w:pPr>
      <w:rPr>
        <w:sz w:val="24"/>
        <w:szCs w:val="24"/>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26</w:t>
    </w:r>
    <w:r>
      <w:rPr>
        <w:sz w:val="28"/>
        <w:szCs w:val="28"/>
      </w:rPr>
      <w:fldChar w:fldCharType="end"/>
    </w:r>
  </w:p>
  <w:p w:rsidR="00000000" w:rsidRDefault="00AE1CCA">
    <w:pPr>
      <w:rPr>
        <w:sz w:val="24"/>
        <w:szCs w:val="24"/>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sidR="003E1990">
      <w:rPr>
        <w:noProof/>
        <w:sz w:val="28"/>
        <w:szCs w:val="28"/>
      </w:rPr>
      <w:t>29</w:t>
    </w:r>
    <w:r>
      <w:rPr>
        <w:sz w:val="28"/>
        <w:szCs w:val="28"/>
      </w:rPr>
      <w:fldChar w:fldCharType="end"/>
    </w:r>
  </w:p>
  <w:p w:rsidR="00000000" w:rsidRDefault="00AE1CCA">
    <w:pPr>
      <w:rPr>
        <w:sz w:val="24"/>
        <w:szCs w:val="24"/>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29</w:t>
    </w:r>
    <w:r>
      <w:rPr>
        <w:sz w:val="28"/>
        <w:szCs w:val="28"/>
      </w:rPr>
      <w:fldChar w:fldCharType="end"/>
    </w:r>
  </w:p>
  <w:p w:rsidR="00000000" w:rsidRDefault="00AE1CCA">
    <w:pPr>
      <w:rPr>
        <w:sz w:val="24"/>
        <w:szCs w:val="24"/>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30</w:t>
    </w:r>
    <w:r>
      <w:rPr>
        <w:sz w:val="28"/>
        <w:szCs w:val="28"/>
      </w:rPr>
      <w:fldChar w:fldCharType="end"/>
    </w:r>
  </w:p>
  <w:p w:rsidR="00000000" w:rsidRDefault="00AE1CCA">
    <w:pPr>
      <w:rPr>
        <w:sz w:val="24"/>
        <w:szCs w:val="24"/>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E1CCA">
    <w:pPr>
      <w:framePr w:wrap="notBeside" w:hAnchor="text" w:xAlign="center"/>
      <w:rPr>
        <w:sz w:val="28"/>
        <w:szCs w:val="28"/>
      </w:rPr>
    </w:pPr>
    <w:r>
      <w:rPr>
        <w:sz w:val="28"/>
        <w:szCs w:val="28"/>
      </w:rPr>
      <w:fldChar w:fldCharType="begin"/>
    </w:r>
    <w:r>
      <w:rPr>
        <w:sz w:val="28"/>
        <w:szCs w:val="28"/>
      </w:rPr>
      <w:instrText xml:space="preserve"> PAGE  </w:instrText>
    </w:r>
    <w:r w:rsidR="00256085">
      <w:rPr>
        <w:sz w:val="28"/>
        <w:szCs w:val="28"/>
      </w:rPr>
      <w:fldChar w:fldCharType="separate"/>
    </w:r>
    <w:r>
      <w:rPr>
        <w:noProof/>
        <w:sz w:val="28"/>
        <w:szCs w:val="28"/>
      </w:rPr>
      <w:t>36</w:t>
    </w:r>
    <w:r>
      <w:rPr>
        <w:sz w:val="28"/>
        <w:szCs w:val="28"/>
      </w:rPr>
      <w:fldChar w:fldCharType="end"/>
    </w:r>
  </w:p>
  <w:p w:rsidR="00000000" w:rsidRDefault="00AE1CCA">
    <w:pP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E1CCA">
      <w:r>
        <w:separator/>
      </w:r>
    </w:p>
  </w:footnote>
  <w:footnote w:type="continuationSeparator" w:id="0">
    <w:p w:rsidR="00000000" w:rsidRDefault="00AE1CCA">
      <w:r>
        <w:continuationSeparator/>
      </w:r>
    </w:p>
  </w:footnote>
  <w:footnote w:id="1">
    <w:p w:rsidR="00000000" w:rsidRDefault="00AE1CCA">
      <w:pPr>
        <w:spacing w:after="240"/>
        <w:rPr>
          <w:sz w:val="28"/>
          <w:szCs w:val="28"/>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Pr>
          <w:rFonts w:ascii="Century Becker Schoolbook" w:hAnsi="Century Becker Schoolbook" w:cs="Century Becker Schoolbook"/>
          <w:sz w:val="28"/>
          <w:szCs w:val="28"/>
        </w:rPr>
        <w:t xml:space="preserve">The Office of the Chief Financial Officer was named as an additional defendant in the complaint, but was dismissed as a party for being </w:t>
      </w:r>
      <w:r>
        <w:rPr>
          <w:rFonts w:ascii="Century Becker Schoolbook" w:hAnsi="Century Becker Schoolbook" w:cs="Century Becker Schoolbook"/>
          <w:i/>
          <w:iCs/>
          <w:sz w:val="28"/>
          <w:szCs w:val="28"/>
        </w:rPr>
        <w:t xml:space="preserve">non sui </w:t>
      </w:r>
      <w:proofErr w:type="gramStart"/>
      <w:r>
        <w:rPr>
          <w:rFonts w:ascii="Century Becker Schoolbook" w:hAnsi="Century Becker Schoolbook" w:cs="Century Becker Schoolbook"/>
          <w:i/>
          <w:iCs/>
          <w:sz w:val="28"/>
          <w:szCs w:val="28"/>
        </w:rPr>
        <w:t xml:space="preserve">juris </w:t>
      </w:r>
      <w:r>
        <w:rPr>
          <w:rFonts w:ascii="Century Becker Schoolbook" w:hAnsi="Century Becker Schoolbook" w:cs="Century Becker Schoolbook"/>
          <w:sz w:val="28"/>
          <w:szCs w:val="28"/>
        </w:rPr>
        <w:t xml:space="preserve"> (</w:t>
      </w:r>
      <w:proofErr w:type="gramEnd"/>
      <w:r>
        <w:rPr>
          <w:rFonts w:ascii="Century Becker Schoolbook" w:hAnsi="Century Becker Schoolbook" w:cs="Century Becker Schoolbook"/>
          <w:sz w:val="28"/>
          <w:szCs w:val="28"/>
        </w:rPr>
        <w:t>J.A. __).</w:t>
      </w:r>
    </w:p>
  </w:footnote>
  <w:footnote w:id="2">
    <w:p w:rsidR="00000000" w:rsidRDefault="00AE1CCA">
      <w:pPr>
        <w:spacing w:after="240"/>
        <w:rPr>
          <w:sz w:val="28"/>
          <w:szCs w:val="28"/>
        </w:rPr>
      </w:pP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Pr>
          <w:rFonts w:ascii="Century Becker Schoolbook" w:hAnsi="Century Becker Schoolbook" w:cs="Century Becker Schoolbook"/>
          <w:sz w:val="28"/>
          <w:szCs w:val="28"/>
        </w:rPr>
        <w:t>OTR</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s private letter rulings are binding on OTR as to the individual taxpayer, but not necessarily as to other taxpayers or situations.  (J.A. ___).</w:t>
      </w:r>
    </w:p>
  </w:footnote>
  <w:footnote w:id="3">
    <w:p w:rsidR="00000000" w:rsidRDefault="00AE1CCA">
      <w:pPr>
        <w:spacing w:after="240"/>
        <w:rPr>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 </w:t>
      </w:r>
      <w:r>
        <w:rPr>
          <w:rFonts w:ascii="Century" w:hAnsi="Century" w:cs="Century"/>
          <w:color w:val="4A4A4A"/>
          <w:sz w:val="28"/>
          <w:szCs w:val="28"/>
        </w:rPr>
        <w:t>“</w:t>
      </w:r>
      <w:r>
        <w:rPr>
          <w:rFonts w:ascii="Century" w:hAnsi="Century" w:cs="Century"/>
          <w:color w:val="4A4A4A"/>
          <w:sz w:val="28"/>
          <w:szCs w:val="28"/>
        </w:rPr>
        <w:t xml:space="preserve">A </w:t>
      </w:r>
      <w:r>
        <w:rPr>
          <w:rFonts w:ascii="Century" w:hAnsi="Century" w:cs="Century"/>
          <w:i/>
          <w:iCs/>
          <w:color w:val="4A4A4A"/>
          <w:sz w:val="28"/>
          <w:szCs w:val="28"/>
        </w:rPr>
        <w:t>Vaughn</w:t>
      </w:r>
      <w:r>
        <w:rPr>
          <w:rFonts w:ascii="Century" w:hAnsi="Century" w:cs="Century"/>
          <w:color w:val="4A4A4A"/>
          <w:sz w:val="28"/>
          <w:szCs w:val="28"/>
        </w:rPr>
        <w:t xml:space="preserve"> index </w:t>
      </w:r>
      <w:r>
        <w:rPr>
          <w:rFonts w:ascii="Century Becker Schoolbook" w:hAnsi="Century Becker Schoolbook" w:cs="Century Becker Schoolbook"/>
          <w:sz w:val="28"/>
          <w:szCs w:val="28"/>
        </w:rPr>
        <w:t xml:space="preserve">itemizes any withheld documents and explains why each document is exempt from disclosure.  See </w:t>
      </w:r>
      <w:r>
        <w:rPr>
          <w:rFonts w:ascii="Century Becker Schoolbook" w:hAnsi="Century Becker Schoolbook" w:cs="Century Becker Schoolbook"/>
          <w:i/>
          <w:iCs/>
          <w:sz w:val="28"/>
          <w:szCs w:val="28"/>
        </w:rPr>
        <w:t>Vaughn v. Rosen</w:t>
      </w:r>
      <w:r>
        <w:rPr>
          <w:rFonts w:ascii="Century Becker Schoolbook" w:hAnsi="Century Becker Schoolbook" w:cs="Century Becker Schoolbook"/>
          <w:sz w:val="28"/>
          <w:szCs w:val="28"/>
        </w:rPr>
        <w:t>, 484 F.2d 820, 827 (D.C.Cir.1973).</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w:t>
      </w:r>
      <w:r>
        <w:rPr>
          <w:rFonts w:ascii="Century Becker Schoolbook" w:hAnsi="Century Becker Schoolbook" w:cs="Century Becker Schoolbook"/>
          <w:i/>
          <w:iCs/>
          <w:sz w:val="28"/>
          <w:szCs w:val="28"/>
        </w:rPr>
        <w:t>Fraternal Order of Police, Metro. Labor Comm. v. District of Colum</w:t>
      </w:r>
      <w:r>
        <w:rPr>
          <w:rFonts w:ascii="Century Becker Schoolbook" w:hAnsi="Century Becker Schoolbook" w:cs="Century Becker Schoolbook"/>
          <w:i/>
          <w:iCs/>
          <w:sz w:val="28"/>
          <w:szCs w:val="28"/>
        </w:rPr>
        <w:t>bia</w:t>
      </w:r>
      <w:r>
        <w:rPr>
          <w:rFonts w:ascii="Century Becker Schoolbook" w:hAnsi="Century Becker Schoolbook" w:cs="Century Becker Schoolbook"/>
          <w:sz w:val="28"/>
          <w:szCs w:val="28"/>
        </w:rPr>
        <w:t>, 113 A.3d 198, ___ (D.C. 2015).</w:t>
      </w:r>
    </w:p>
  </w:footnote>
  <w:footnote w:id="4">
    <w:p w:rsidR="00000000" w:rsidRDefault="00AE1CCA">
      <w:pPr>
        <w:spacing w:after="240"/>
        <w:rPr>
          <w:sz w:val="28"/>
          <w:szCs w:val="28"/>
        </w:rPr>
      </w:pPr>
      <w:r>
        <w:rPr>
          <w:rFonts w:ascii="Times New Roman" w:hAnsi="Times New Roman" w:cs="Times New Roman"/>
          <w:sz w:val="24"/>
          <w:szCs w:val="24"/>
          <w:vertAlign w:val="superscript"/>
        </w:rPr>
        <w:t>4</w:t>
      </w:r>
      <w:r>
        <w:rPr>
          <w:rFonts w:ascii="Times New Roman" w:hAnsi="Times New Roman" w:cs="Times New Roman"/>
          <w:sz w:val="24"/>
          <w:szCs w:val="24"/>
        </w:rPr>
        <w:t xml:space="preserve"> </w:t>
      </w:r>
      <w:r>
        <w:rPr>
          <w:rFonts w:ascii="Century Becker Schoolbook" w:hAnsi="Century Becker Schoolbook" w:cs="Century Becker Schoolbook"/>
          <w:sz w:val="28"/>
          <w:szCs w:val="28"/>
        </w:rPr>
        <w:t xml:space="preserve">The motion for </w:t>
      </w:r>
      <w:r>
        <w:rPr>
          <w:rFonts w:ascii="Century Becker Schoolbook" w:hAnsi="Century Becker Schoolbook" w:cs="Century Becker Schoolbook"/>
          <w:i/>
          <w:iCs/>
          <w:sz w:val="28"/>
          <w:szCs w:val="28"/>
        </w:rPr>
        <w:t xml:space="preserve">in camera </w:t>
      </w:r>
      <w:r>
        <w:rPr>
          <w:rFonts w:ascii="Century Becker Schoolbook" w:hAnsi="Century Becker Schoolbook" w:cs="Century Becker Schoolbook"/>
          <w:sz w:val="28"/>
          <w:szCs w:val="28"/>
        </w:rPr>
        <w:t xml:space="preserve">review erred in stating that OTR opposed </w:t>
      </w:r>
      <w:r>
        <w:rPr>
          <w:rFonts w:ascii="Century Becker Schoolbook" w:hAnsi="Century Becker Schoolbook" w:cs="Century Becker Schoolbook"/>
          <w:i/>
          <w:iCs/>
          <w:sz w:val="28"/>
          <w:szCs w:val="28"/>
        </w:rPr>
        <w:t xml:space="preserve">in camera </w:t>
      </w:r>
      <w:r>
        <w:rPr>
          <w:rFonts w:ascii="Century Becker Schoolbook" w:hAnsi="Century Becker Schoolbook" w:cs="Century Becker Schoolbook"/>
          <w:sz w:val="28"/>
          <w:szCs w:val="28"/>
        </w:rPr>
        <w:t xml:space="preserve">review.  A </w:t>
      </w:r>
      <w:proofErr w:type="spellStart"/>
      <w:r>
        <w:rPr>
          <w:rFonts w:ascii="Century Becker Schoolbook" w:hAnsi="Century Becker Schoolbook" w:cs="Century Becker Schoolbook"/>
          <w:sz w:val="28"/>
          <w:szCs w:val="28"/>
        </w:rPr>
        <w:t>praecipe</w:t>
      </w:r>
      <w:proofErr w:type="spellEnd"/>
      <w:r>
        <w:rPr>
          <w:rFonts w:ascii="Century Becker Schoolbook" w:hAnsi="Century Becker Schoolbook" w:cs="Century Becker Schoolbook"/>
          <w:sz w:val="28"/>
          <w:szCs w:val="28"/>
        </w:rPr>
        <w:t xml:space="preserve"> was filed to advise the court and correct the</w:t>
      </w:r>
      <w:r>
        <w:rPr>
          <w:rFonts w:ascii="Century Becker Schoolbook" w:hAnsi="Century Becker Schoolbook" w:cs="Century Becker Schoolbook"/>
          <w:sz w:val="28"/>
          <w:szCs w:val="28"/>
        </w:rPr>
        <w:t xml:space="preserve"> record (J.A. __), to which OTR responded with a </w:t>
      </w:r>
      <w:proofErr w:type="spellStart"/>
      <w:r>
        <w:rPr>
          <w:rFonts w:ascii="Century Becker Schoolbook" w:hAnsi="Century Becker Schoolbook" w:cs="Century Becker Schoolbook"/>
          <w:sz w:val="28"/>
          <w:szCs w:val="28"/>
        </w:rPr>
        <w:t>praecipe</w:t>
      </w:r>
      <w:proofErr w:type="spellEnd"/>
      <w:r>
        <w:rPr>
          <w:rFonts w:ascii="Century Becker Schoolbook" w:hAnsi="Century Becker Schoolbook" w:cs="Century Becker Schoolbook"/>
          <w:sz w:val="28"/>
          <w:szCs w:val="28"/>
        </w:rPr>
        <w:t xml:space="preserve"> confirming that OTR consented to </w:t>
      </w:r>
      <w:r>
        <w:rPr>
          <w:rFonts w:ascii="Century Becker Schoolbook" w:hAnsi="Century Becker Schoolbook" w:cs="Century Becker Schoolbook"/>
          <w:i/>
          <w:iCs/>
          <w:sz w:val="28"/>
          <w:szCs w:val="28"/>
        </w:rPr>
        <w:t xml:space="preserve">in camera </w:t>
      </w:r>
      <w:r>
        <w:rPr>
          <w:rFonts w:ascii="Century Becker Schoolbook" w:hAnsi="Century Becker Schoolbook" w:cs="Century Becker Schoolbook"/>
          <w:sz w:val="28"/>
          <w:szCs w:val="28"/>
        </w:rPr>
        <w:t>review, though not to Tax Analysts</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request that summary judgment be denied (J.A. __-__).</w:t>
      </w:r>
    </w:p>
  </w:footnote>
  <w:footnote w:id="5">
    <w:p w:rsidR="00000000" w:rsidRDefault="00AE1CCA">
      <w:pPr>
        <w:spacing w:after="240"/>
        <w:rPr>
          <w:sz w:val="28"/>
          <w:szCs w:val="28"/>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 </w:t>
      </w:r>
      <w:r>
        <w:rPr>
          <w:rFonts w:ascii="Century Becker Schoolbook" w:hAnsi="Century Becker Schoolbook" w:cs="Century Becker Schoolbook"/>
          <w:sz w:val="28"/>
          <w:szCs w:val="28"/>
        </w:rPr>
        <w:t xml:space="preserve">Indeed, in its motion to dismiss (at p. 8), OTR noted that D.C. Code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47-4406(f) makes it a criminal offense for anyone to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willfully</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disclose information that is protected by section 47-4406.  OTR never tried to square its </w:t>
      </w:r>
      <w:r>
        <w:rPr>
          <w:rFonts w:ascii="Century Becker Schoolbook" w:hAnsi="Century Becker Schoolbook" w:cs="Century Becker Schoolbook"/>
          <w:sz w:val="28"/>
          <w:szCs w:val="28"/>
        </w:rPr>
        <w:t xml:space="preserve">publication of documents Tax Analysts produced (J.A. __-__) with this criminal statute.   </w:t>
      </w:r>
    </w:p>
  </w:footnote>
  <w:footnote w:id="6">
    <w:p w:rsidR="00000000" w:rsidRDefault="00AE1CCA">
      <w:pPr>
        <w:spacing w:after="240"/>
        <w:rPr>
          <w:sz w:val="24"/>
          <w:szCs w:val="24"/>
        </w:rPr>
      </w:pPr>
      <w:r>
        <w:rPr>
          <w:rFonts w:ascii="Times New Roman" w:hAnsi="Times New Roman" w:cs="Times New Roman"/>
          <w:sz w:val="24"/>
          <w:szCs w:val="24"/>
          <w:vertAlign w:val="superscript"/>
        </w:rPr>
        <w:t>6</w:t>
      </w:r>
      <w:r>
        <w:rPr>
          <w:rFonts w:ascii="Century Becker Schoolbook" w:hAnsi="Century Becker Schoolbook" w:cs="Century Becker Schoolbook"/>
          <w:sz w:val="28"/>
          <w:szCs w:val="28"/>
        </w:rPr>
        <w:t xml:space="preserve"> Joint Committee repor</w:t>
      </w:r>
      <w:r>
        <w:rPr>
          <w:rFonts w:ascii="Century Becker Schoolbook" w:hAnsi="Century Becker Schoolbook" w:cs="Century Becker Schoolbook"/>
          <w:sz w:val="28"/>
          <w:szCs w:val="28"/>
        </w:rPr>
        <w:t xml:space="preserve">ts are particularly influential in explaining tax legislation.  The staff assists the tax writing committees as legislation is developed, and when a House-Senate conference committee has completed its work, the Joint Committee staff prepares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the statement</w:t>
      </w:r>
      <w:r>
        <w:rPr>
          <w:rFonts w:ascii="Century Becker Schoolbook" w:hAnsi="Century Becker Schoolbook" w:cs="Century Becker Schoolbook"/>
          <w:sz w:val="28"/>
          <w:szCs w:val="28"/>
        </w:rPr>
        <w:t xml:space="preserve"> of managers and the final revenue table</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and then assists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the tax-writing committee staffs in preparation of explanatory materials of the conferees' decisions.</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Joint Committee on Taxation,</w:t>
      </w:r>
      <w:r>
        <w:rPr>
          <w:rFonts w:ascii="Century Becker Schoolbook" w:hAnsi="Century Becker Schoolbook" w:cs="Century Becker Schoolbook"/>
          <w:i/>
          <w:iCs/>
          <w:sz w:val="28"/>
          <w:szCs w:val="28"/>
        </w:rPr>
        <w:t xml:space="preserve"> Role of JCT</w:t>
      </w:r>
      <w:r>
        <w:rPr>
          <w:rFonts w:ascii="Century Becker Schoolbook" w:hAnsi="Century Becker Schoolbook" w:cs="Century Becker Schoolbook"/>
          <w:sz w:val="28"/>
          <w:szCs w:val="28"/>
        </w:rPr>
        <w:t xml:space="preserve">, available at </w:t>
      </w:r>
      <w:hyperlink r:id="rId1" w:history="1">
        <w:r>
          <w:rPr>
            <w:rStyle w:val="SYSHYPERTEXT"/>
            <w:rFonts w:ascii="Century Becker Schoolbook" w:hAnsi="Century Becker Schoolbook" w:cs="Century Becker Schoolbook"/>
            <w:sz w:val="28"/>
            <w:szCs w:val="28"/>
          </w:rPr>
          <w:t>https://www.jct.gov/operations/role-of-jct/</w:t>
        </w:r>
      </w:hyperlink>
      <w:r>
        <w:rPr>
          <w:rFonts w:ascii="Century Becker Schoolbook" w:hAnsi="Century Becker Schoolbook" w:cs="Century Becker Schoolbook"/>
          <w:sz w:val="28"/>
          <w:szCs w:val="28"/>
        </w:rPr>
        <w:t>.</w:t>
      </w:r>
    </w:p>
  </w:footnote>
  <w:footnote w:id="7">
    <w:p w:rsidR="00000000" w:rsidRDefault="00AE1CCA">
      <w:pPr>
        <w:spacing w:after="240"/>
        <w:rPr>
          <w:sz w:val="24"/>
          <w:szCs w:val="24"/>
        </w:rPr>
      </w:pPr>
      <w:r>
        <w:rPr>
          <w:rFonts w:ascii="Times New Roman" w:hAnsi="Times New Roman" w:cs="Times New Roman"/>
          <w:sz w:val="24"/>
          <w:szCs w:val="24"/>
          <w:vertAlign w:val="superscript"/>
        </w:rPr>
        <w:t>7</w:t>
      </w:r>
      <w:r>
        <w:rPr>
          <w:rFonts w:ascii="Century Becker Schoolbook" w:hAnsi="Century Becker Schoolbook" w:cs="Century Becker Schoolbook"/>
          <w:sz w:val="28"/>
          <w:szCs w:val="28"/>
        </w:rPr>
        <w:t xml:space="preserve"> Technical advice memoranda are another</w:t>
      </w:r>
      <w:r>
        <w:rPr>
          <w:rFonts w:ascii="Century Becker Schoolbook" w:hAnsi="Century Becker Schoolbook" w:cs="Century Becker Schoolbook"/>
          <w:sz w:val="28"/>
          <w:szCs w:val="28"/>
        </w:rPr>
        <w:t xml:space="preserve"> form of IRS written guidance that the FOIA requesters had sought in both the D.C. Circuit case and the Sixth Circuit case.  The former court held that these memoranda were exempt from disclosure and the latter court holding that they must be disclosed.  J</w:t>
      </w:r>
      <w:r>
        <w:rPr>
          <w:rFonts w:ascii="Century Becker Schoolbook" w:hAnsi="Century Becker Schoolbook" w:cs="Century Becker Schoolbook"/>
          <w:sz w:val="28"/>
          <w:szCs w:val="28"/>
        </w:rPr>
        <w:t>oint Committee Report at</w:t>
      </w:r>
      <w:r>
        <w:rPr>
          <w:rFonts w:ascii="Times New Roman" w:hAnsi="Times New Roman" w:cs="Times New Roman"/>
          <w:sz w:val="24"/>
          <w:szCs w:val="24"/>
        </w:rPr>
        <w:t xml:space="preserve"> ___.  </w:t>
      </w:r>
    </w:p>
  </w:footnote>
  <w:footnote w:id="8">
    <w:p w:rsidR="00000000" w:rsidRDefault="00AE1CCA">
      <w:pPr>
        <w:spacing w:after="240"/>
        <w:rPr>
          <w:sz w:val="24"/>
          <w:szCs w:val="24"/>
        </w:rPr>
      </w:pPr>
      <w:r>
        <w:rPr>
          <w:rFonts w:ascii="Times New Roman" w:hAnsi="Times New Roman" w:cs="Times New Roman"/>
          <w:sz w:val="24"/>
          <w:szCs w:val="24"/>
          <w:vertAlign w:val="superscript"/>
        </w:rPr>
        <w:t>8</w:t>
      </w:r>
      <w:r>
        <w:rPr>
          <w:rFonts w:ascii="Times New Roman" w:hAnsi="Times New Roman" w:cs="Times New Roman"/>
          <w:sz w:val="24"/>
          <w:szCs w:val="24"/>
        </w:rPr>
        <w:t xml:space="preserve"> </w:t>
      </w:r>
      <w:r>
        <w:rPr>
          <w:rFonts w:ascii="Century Becker Schoolbook" w:hAnsi="Century Becker Schoolbook" w:cs="Century Becker Schoolbook"/>
          <w:sz w:val="28"/>
          <w:szCs w:val="28"/>
        </w:rPr>
        <w:t xml:space="preserve">We emphasize what Tax Analysts is </w:t>
      </w:r>
      <w:r>
        <w:rPr>
          <w:rFonts w:ascii="Century Becker Schoolbook" w:hAnsi="Century Becker Schoolbook" w:cs="Century Becker Schoolbook"/>
          <w:i/>
          <w:iCs/>
          <w:sz w:val="28"/>
          <w:szCs w:val="28"/>
        </w:rPr>
        <w:t xml:space="preserve">not </w:t>
      </w:r>
      <w:r>
        <w:rPr>
          <w:rFonts w:ascii="Century Becker Schoolbook" w:hAnsi="Century Becker Schoolbook" w:cs="Century Becker Schoolbook"/>
          <w:sz w:val="28"/>
          <w:szCs w:val="28"/>
        </w:rPr>
        <w:t>arguing</w:t>
      </w:r>
      <w:r>
        <w:rPr>
          <w:rFonts w:ascii="Century Becker Schoolbook" w:hAnsi="Century Becker Schoolbook" w:cs="Century Becker Schoolbook"/>
          <w:sz w:val="28"/>
          <w:szCs w:val="28"/>
        </w:rPr>
        <w:t>.  Plaintiffs</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w:t>
      </w:r>
      <w:r>
        <w:rPr>
          <w:rFonts w:ascii="Century Becker Schoolbook" w:hAnsi="Century Becker Schoolbook" w:cs="Century Becker Schoolbook"/>
          <w:sz w:val="28"/>
          <w:szCs w:val="28"/>
        </w:rPr>
        <w:t xml:space="preserve">Exhibit 9 is an edited version of a private letter ruling in which OTR substituted the word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HOTEL</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for the name of the taxpayer and made similar changes for other identifiers.  Tax Analysts</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request does not ask OTR to create a new documen</w:t>
      </w:r>
      <w:r>
        <w:rPr>
          <w:rFonts w:ascii="Century Becker Schoolbook" w:hAnsi="Century Becker Schoolbook" w:cs="Century Becker Schoolbook"/>
          <w:sz w:val="28"/>
          <w:szCs w:val="28"/>
        </w:rPr>
        <w:t>t in this fashion, but simply to take the existing PLRs and delete names and personal identifiers.  Redaction software or a Sharpie pen should suffice.</w:t>
      </w:r>
    </w:p>
  </w:footnote>
  <w:footnote w:id="9">
    <w:p w:rsidR="00000000" w:rsidRDefault="00AE1CCA">
      <w:pPr>
        <w:spacing w:after="240"/>
        <w:rPr>
          <w:sz w:val="24"/>
          <w:szCs w:val="24"/>
        </w:rPr>
      </w:pPr>
      <w:r>
        <w:rPr>
          <w:rFonts w:ascii="Times New Roman" w:hAnsi="Times New Roman" w:cs="Times New Roman"/>
          <w:sz w:val="24"/>
          <w:szCs w:val="24"/>
          <w:vertAlign w:val="superscript"/>
        </w:rPr>
        <w:t>9</w:t>
      </w:r>
      <w:r>
        <w:rPr>
          <w:rFonts w:ascii="Century Becker Schoolbook" w:hAnsi="Century Becker Schoolbook" w:cs="Century Becker Schoolbook"/>
          <w:sz w:val="28"/>
          <w:szCs w:val="28"/>
        </w:rPr>
        <w:t xml:space="preserve"> The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clearly unwarranted</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standard contrasts with the FOIA</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s exemption protecting law enforce</w:t>
      </w:r>
      <w:r>
        <w:rPr>
          <w:rFonts w:ascii="Century Becker Schoolbook" w:hAnsi="Century Becker Schoolbook" w:cs="Century Becker Schoolbook"/>
          <w:sz w:val="28"/>
          <w:szCs w:val="28"/>
        </w:rPr>
        <w:t xml:space="preserve">ment records if disclosure of those records would produce an </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unwarranted</w:t>
      </w:r>
      <w:r>
        <w:rPr>
          <w:rFonts w:ascii="Century Becker Schoolbook" w:hAnsi="Century Becker Schoolbook" w:cs="Century Becker Schoolbook"/>
          <w:sz w:val="28"/>
          <w:szCs w:val="28"/>
        </w:rPr>
        <w:t>”</w:t>
      </w:r>
      <w:r>
        <w:rPr>
          <w:rFonts w:ascii="Century Becker Schoolbook" w:hAnsi="Century Becker Schoolbook" w:cs="Century Becker Schoolbook"/>
          <w:sz w:val="28"/>
          <w:szCs w:val="28"/>
        </w:rPr>
        <w:t xml:space="preserve"> invasion of personal privacy. D.C. Code ' 2-534(a</w:t>
      </w:r>
      <w:proofErr w:type="gramStart"/>
      <w:r>
        <w:rPr>
          <w:rFonts w:ascii="Century Becker Schoolbook" w:hAnsi="Century Becker Schoolbook" w:cs="Century Becker Schoolbook"/>
          <w:sz w:val="28"/>
          <w:szCs w:val="28"/>
        </w:rPr>
        <w:t>)(</w:t>
      </w:r>
      <w:proofErr w:type="gramEnd"/>
      <w:r>
        <w:rPr>
          <w:rFonts w:ascii="Century Becker Schoolbook" w:hAnsi="Century Becker Schoolbook" w:cs="Century Becker Schoolbook"/>
          <w:sz w:val="28"/>
          <w:szCs w:val="28"/>
        </w:rPr>
        <w:t>3)(C).</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1"/>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085"/>
    <w:rsid w:val="00256085"/>
    <w:rsid w:val="003E1990"/>
    <w:rsid w:val="00AE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55FFEB1-8DEB-4237-8D04-B860E9BD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Century Schoolbook" w:hAnsi="Century Schoolbook"/>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60" w:hanging="360"/>
      <w:jc w:val="both"/>
    </w:pPr>
    <w:rPr>
      <w:rFonts w:ascii="Century Schoolbook" w:hAnsi="Century Schoolbook"/>
      <w:sz w:val="24"/>
      <w:szCs w:val="24"/>
    </w:rPr>
  </w:style>
  <w:style w:type="paragraph" w:customStyle="1" w:styleId="level2">
    <w:name w:val="_level2"/>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720" w:hanging="360"/>
      <w:jc w:val="both"/>
    </w:pPr>
    <w:rPr>
      <w:rFonts w:ascii="Century Schoolbook" w:hAnsi="Century Schoolbook"/>
      <w:sz w:val="24"/>
      <w:szCs w:val="24"/>
    </w:rPr>
  </w:style>
  <w:style w:type="paragraph" w:customStyle="1" w:styleId="level3">
    <w:name w:val="_level3"/>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080" w:hanging="360"/>
      <w:jc w:val="both"/>
    </w:pPr>
    <w:rPr>
      <w:rFonts w:ascii="Century Schoolbook" w:hAnsi="Century Schoolbook"/>
      <w:sz w:val="24"/>
      <w:szCs w:val="24"/>
    </w:rPr>
  </w:style>
  <w:style w:type="paragraph" w:customStyle="1" w:styleId="level4">
    <w:name w:val="_level4"/>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440" w:hanging="360"/>
      <w:jc w:val="both"/>
    </w:pPr>
    <w:rPr>
      <w:rFonts w:ascii="Century Schoolbook" w:hAnsi="Century Schoolbook"/>
      <w:sz w:val="24"/>
      <w:szCs w:val="24"/>
    </w:rPr>
  </w:style>
  <w:style w:type="paragraph" w:customStyle="1" w:styleId="level5">
    <w:name w:val="_level5"/>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800" w:hanging="360"/>
      <w:jc w:val="both"/>
    </w:pPr>
    <w:rPr>
      <w:rFonts w:ascii="Century Schoolbook" w:hAnsi="Century Schoolbook"/>
      <w:sz w:val="24"/>
      <w:szCs w:val="24"/>
    </w:rPr>
  </w:style>
  <w:style w:type="paragraph" w:customStyle="1" w:styleId="level6">
    <w:name w:val="_level6"/>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160" w:hanging="360"/>
      <w:jc w:val="both"/>
    </w:pPr>
    <w:rPr>
      <w:rFonts w:ascii="Century Schoolbook" w:hAnsi="Century Schoolbook"/>
      <w:sz w:val="24"/>
      <w:szCs w:val="24"/>
    </w:rPr>
  </w:style>
  <w:style w:type="paragraph" w:customStyle="1" w:styleId="level7">
    <w:name w:val="_level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520" w:hanging="360"/>
      <w:jc w:val="both"/>
    </w:pPr>
    <w:rPr>
      <w:rFonts w:ascii="Century Schoolbook" w:hAnsi="Century Schoolbook"/>
      <w:sz w:val="24"/>
      <w:szCs w:val="24"/>
    </w:rPr>
  </w:style>
  <w:style w:type="paragraph" w:customStyle="1" w:styleId="level8">
    <w:name w:val="_level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880" w:hanging="360"/>
      <w:jc w:val="both"/>
    </w:pPr>
    <w:rPr>
      <w:rFonts w:ascii="Century Schoolbook" w:hAnsi="Century Schoolbook"/>
      <w:sz w:val="24"/>
      <w:szCs w:val="24"/>
    </w:rPr>
  </w:style>
  <w:style w:type="paragraph" w:customStyle="1" w:styleId="level9">
    <w:name w:val="_level9"/>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240" w:hanging="360"/>
      <w:jc w:val="both"/>
    </w:pPr>
    <w:rPr>
      <w:rFonts w:ascii="Century Schoolbook" w:hAnsi="Century Schoolbook"/>
      <w:sz w:val="24"/>
      <w:szCs w:val="24"/>
    </w:rPr>
  </w:style>
  <w:style w:type="paragraph" w:customStyle="1" w:styleId="levsl1">
    <w:name w:val="_levsl1"/>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60" w:hanging="360"/>
      <w:jc w:val="both"/>
    </w:pPr>
    <w:rPr>
      <w:rFonts w:ascii="Century Schoolbook" w:hAnsi="Century Schoolbook"/>
      <w:sz w:val="24"/>
      <w:szCs w:val="24"/>
    </w:rPr>
  </w:style>
  <w:style w:type="paragraph" w:customStyle="1" w:styleId="levsl2">
    <w:name w:val="_levsl2"/>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720" w:hanging="360"/>
      <w:jc w:val="both"/>
    </w:pPr>
    <w:rPr>
      <w:rFonts w:ascii="Century Schoolbook" w:hAnsi="Century Schoolbook"/>
      <w:sz w:val="24"/>
      <w:szCs w:val="24"/>
    </w:rPr>
  </w:style>
  <w:style w:type="paragraph" w:customStyle="1" w:styleId="levsl3">
    <w:name w:val="_levsl3"/>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080" w:hanging="360"/>
      <w:jc w:val="both"/>
    </w:pPr>
    <w:rPr>
      <w:rFonts w:ascii="Century Schoolbook" w:hAnsi="Century Schoolbook"/>
      <w:sz w:val="24"/>
      <w:szCs w:val="24"/>
    </w:rPr>
  </w:style>
  <w:style w:type="paragraph" w:customStyle="1" w:styleId="levsl4">
    <w:name w:val="_levsl4"/>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440" w:hanging="360"/>
      <w:jc w:val="both"/>
    </w:pPr>
    <w:rPr>
      <w:rFonts w:ascii="Century Schoolbook" w:hAnsi="Century Schoolbook"/>
      <w:sz w:val="24"/>
      <w:szCs w:val="24"/>
    </w:rPr>
  </w:style>
  <w:style w:type="paragraph" w:customStyle="1" w:styleId="levsl5">
    <w:name w:val="_levsl5"/>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800" w:hanging="360"/>
      <w:jc w:val="both"/>
    </w:pPr>
    <w:rPr>
      <w:rFonts w:ascii="Century Schoolbook" w:hAnsi="Century Schoolbook"/>
      <w:sz w:val="24"/>
      <w:szCs w:val="24"/>
    </w:rPr>
  </w:style>
  <w:style w:type="paragraph" w:customStyle="1" w:styleId="levsl6">
    <w:name w:val="_levsl6"/>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160" w:hanging="360"/>
      <w:jc w:val="both"/>
    </w:pPr>
    <w:rPr>
      <w:rFonts w:ascii="Century Schoolbook" w:hAnsi="Century Schoolbook"/>
      <w:sz w:val="24"/>
      <w:szCs w:val="24"/>
    </w:rPr>
  </w:style>
  <w:style w:type="paragraph" w:customStyle="1" w:styleId="levsl7">
    <w:name w:val="_levsl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520" w:hanging="360"/>
      <w:jc w:val="both"/>
    </w:pPr>
    <w:rPr>
      <w:rFonts w:ascii="Century Schoolbook" w:hAnsi="Century Schoolbook"/>
      <w:sz w:val="24"/>
      <w:szCs w:val="24"/>
    </w:rPr>
  </w:style>
  <w:style w:type="paragraph" w:customStyle="1" w:styleId="levsl8">
    <w:name w:val="_levsl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880" w:hanging="360"/>
      <w:jc w:val="both"/>
    </w:pPr>
    <w:rPr>
      <w:rFonts w:ascii="Century Schoolbook" w:hAnsi="Century Schoolbook"/>
      <w:sz w:val="24"/>
      <w:szCs w:val="24"/>
    </w:rPr>
  </w:style>
  <w:style w:type="paragraph" w:customStyle="1" w:styleId="levsl9">
    <w:name w:val="_levsl9"/>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240" w:hanging="360"/>
      <w:jc w:val="both"/>
    </w:pPr>
    <w:rPr>
      <w:rFonts w:ascii="Century Schoolbook" w:hAnsi="Century Schoolbook"/>
      <w:sz w:val="24"/>
      <w:szCs w:val="24"/>
    </w:rPr>
  </w:style>
  <w:style w:type="paragraph" w:customStyle="1" w:styleId="levnl1">
    <w:name w:val="_levnl1"/>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60" w:hanging="360"/>
      <w:jc w:val="both"/>
    </w:pPr>
    <w:rPr>
      <w:rFonts w:ascii="Century Schoolbook" w:hAnsi="Century Schoolbook"/>
      <w:sz w:val="24"/>
      <w:szCs w:val="24"/>
    </w:rPr>
  </w:style>
  <w:style w:type="paragraph" w:customStyle="1" w:styleId="levnl2">
    <w:name w:val="_levnl2"/>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720" w:hanging="360"/>
      <w:jc w:val="both"/>
    </w:pPr>
    <w:rPr>
      <w:rFonts w:ascii="Century Schoolbook" w:hAnsi="Century Schoolbook"/>
      <w:sz w:val="24"/>
      <w:szCs w:val="24"/>
    </w:rPr>
  </w:style>
  <w:style w:type="paragraph" w:customStyle="1" w:styleId="levnl3">
    <w:name w:val="_levnl3"/>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080" w:hanging="360"/>
      <w:jc w:val="both"/>
    </w:pPr>
    <w:rPr>
      <w:rFonts w:ascii="Century Schoolbook" w:hAnsi="Century Schoolbook"/>
      <w:sz w:val="24"/>
      <w:szCs w:val="24"/>
    </w:rPr>
  </w:style>
  <w:style w:type="paragraph" w:customStyle="1" w:styleId="levnl4">
    <w:name w:val="_levnl4"/>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440" w:hanging="360"/>
      <w:jc w:val="both"/>
    </w:pPr>
    <w:rPr>
      <w:rFonts w:ascii="Century Schoolbook" w:hAnsi="Century Schoolbook"/>
      <w:sz w:val="24"/>
      <w:szCs w:val="24"/>
    </w:rPr>
  </w:style>
  <w:style w:type="paragraph" w:customStyle="1" w:styleId="levnl5">
    <w:name w:val="_levnl5"/>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800" w:hanging="360"/>
      <w:jc w:val="both"/>
    </w:pPr>
    <w:rPr>
      <w:rFonts w:ascii="Century Schoolbook" w:hAnsi="Century Schoolbook"/>
      <w:sz w:val="24"/>
      <w:szCs w:val="24"/>
    </w:rPr>
  </w:style>
  <w:style w:type="paragraph" w:customStyle="1" w:styleId="levnl6">
    <w:name w:val="_levnl6"/>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160" w:hanging="360"/>
      <w:jc w:val="both"/>
    </w:pPr>
    <w:rPr>
      <w:rFonts w:ascii="Century Schoolbook" w:hAnsi="Century Schoolbook"/>
      <w:sz w:val="24"/>
      <w:szCs w:val="24"/>
    </w:rPr>
  </w:style>
  <w:style w:type="paragraph" w:customStyle="1" w:styleId="levnl7">
    <w:name w:val="_levnl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520" w:hanging="360"/>
      <w:jc w:val="both"/>
    </w:pPr>
    <w:rPr>
      <w:rFonts w:ascii="Century Schoolbook" w:hAnsi="Century Schoolbook"/>
      <w:sz w:val="24"/>
      <w:szCs w:val="24"/>
    </w:rPr>
  </w:style>
  <w:style w:type="paragraph" w:customStyle="1" w:styleId="levnl8">
    <w:name w:val="_levnl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880" w:hanging="360"/>
      <w:jc w:val="both"/>
    </w:pPr>
    <w:rPr>
      <w:rFonts w:ascii="Century Schoolbook" w:hAnsi="Century Schoolbook"/>
      <w:sz w:val="24"/>
      <w:szCs w:val="24"/>
    </w:rPr>
  </w:style>
  <w:style w:type="paragraph" w:customStyle="1" w:styleId="levnl9">
    <w:name w:val="_levnl9"/>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240" w:hanging="360"/>
      <w:jc w:val="both"/>
    </w:pPr>
    <w:rPr>
      <w:rFonts w:ascii="Century Schoolbook" w:hAnsi="Century Schoolbook"/>
      <w:sz w:val="24"/>
      <w:szCs w:val="24"/>
    </w:rPr>
  </w:style>
  <w:style w:type="character" w:customStyle="1" w:styleId="DefaultPara">
    <w:name w:val="Default Para"/>
    <w:uiPriority w:val="99"/>
    <w:rPr>
      <w:sz w:val="20"/>
      <w:szCs w:val="20"/>
    </w:rPr>
  </w:style>
  <w:style w:type="paragraph" w:styleId="Footer">
    <w:name w:val="footer"/>
    <w:basedOn w:val="Normal"/>
    <w:link w:val="FooterChar"/>
    <w:uiPriority w:val="99"/>
    <w:pPr>
      <w:tabs>
        <w:tab w:val="center" w:pos="4320"/>
        <w:tab w:val="right" w:pos="8640"/>
        <w:tab w:val="right" w:pos="9358"/>
      </w:tabs>
      <w:jc w:val="both"/>
    </w:pPr>
    <w:rPr>
      <w:sz w:val="24"/>
      <w:szCs w:val="24"/>
    </w:rPr>
  </w:style>
  <w:style w:type="character" w:customStyle="1" w:styleId="FooterChar">
    <w:name w:val="Footer Char"/>
    <w:basedOn w:val="DefaultParagraphFont"/>
    <w:link w:val="Footer"/>
    <w:uiPriority w:val="99"/>
    <w:semiHidden/>
    <w:rPr>
      <w:rFonts w:ascii="Century Schoolbook" w:hAnsi="Century Schoolbook"/>
      <w:sz w:val="20"/>
      <w:szCs w:val="20"/>
    </w:rPr>
  </w:style>
  <w:style w:type="paragraph" w:customStyle="1" w:styleId="26">
    <w:name w:val="_26"/>
    <w:uiPriority w:val="99"/>
    <w:pPr>
      <w:widowControl w:val="0"/>
      <w:autoSpaceDE w:val="0"/>
      <w:autoSpaceDN w:val="0"/>
      <w:adjustRightInd w:val="0"/>
      <w:spacing w:after="0" w:line="240" w:lineRule="auto"/>
    </w:pPr>
    <w:rPr>
      <w:rFonts w:ascii="Century Schoolbook" w:hAnsi="Century Schoolbook"/>
      <w:sz w:val="24"/>
      <w:szCs w:val="24"/>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440" w:hanging="720"/>
      <w:jc w:val="both"/>
    </w:pPr>
    <w:rPr>
      <w:rFonts w:ascii="Century Schoolbook" w:hAnsi="Century Schoolbook"/>
      <w:sz w:val="24"/>
      <w:szCs w:val="24"/>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160"/>
      <w:jc w:val="both"/>
    </w:pPr>
    <w:rPr>
      <w:rFonts w:ascii="Century Schoolbook" w:hAnsi="Century Schoolbook"/>
      <w:sz w:val="24"/>
      <w:szCs w:val="24"/>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880"/>
      <w:jc w:val="both"/>
    </w:pPr>
    <w:rPr>
      <w:rFonts w:ascii="Century Schoolbook" w:hAnsi="Century Schoolbook"/>
      <w:sz w:val="24"/>
      <w:szCs w:val="24"/>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600"/>
      <w:jc w:val="both"/>
    </w:pPr>
    <w:rPr>
      <w:rFonts w:ascii="Century Schoolbook" w:hAnsi="Century Schoolbook"/>
      <w:sz w:val="24"/>
      <w:szCs w:val="24"/>
    </w:rPr>
  </w:style>
  <w:style w:type="paragraph" w:customStyle="1" w:styleId="21">
    <w:name w:val="_21"/>
    <w:uiPriority w:val="99"/>
    <w:pPr>
      <w:widowControl w:val="0"/>
      <w:tabs>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4320"/>
      <w:jc w:val="both"/>
    </w:pPr>
    <w:rPr>
      <w:rFonts w:ascii="Century Schoolbook" w:hAnsi="Century Schoolbook"/>
      <w:sz w:val="24"/>
      <w:szCs w:val="24"/>
    </w:rPr>
  </w:style>
  <w:style w:type="paragraph" w:customStyle="1" w:styleId="20">
    <w:name w:val="_20"/>
    <w:uiPriority w:val="99"/>
    <w:pPr>
      <w:widowControl w:val="0"/>
      <w:tabs>
        <w:tab w:val="left" w:pos="5040"/>
        <w:tab w:val="left" w:pos="5760"/>
        <w:tab w:val="left" w:pos="6480"/>
        <w:tab w:val="left" w:pos="7200"/>
        <w:tab w:val="left" w:pos="7920"/>
        <w:tab w:val="left" w:pos="8640"/>
        <w:tab w:val="right" w:pos="9358"/>
      </w:tabs>
      <w:autoSpaceDE w:val="0"/>
      <w:autoSpaceDN w:val="0"/>
      <w:adjustRightInd w:val="0"/>
      <w:spacing w:after="0" w:line="240" w:lineRule="auto"/>
      <w:ind w:left="5040"/>
      <w:jc w:val="both"/>
    </w:pPr>
    <w:rPr>
      <w:rFonts w:ascii="Century Schoolbook" w:hAnsi="Century Schoolbook"/>
      <w:sz w:val="24"/>
      <w:szCs w:val="24"/>
    </w:rPr>
  </w:style>
  <w:style w:type="paragraph" w:customStyle="1" w:styleId="19">
    <w:name w:val="_19"/>
    <w:uiPriority w:val="99"/>
    <w:pPr>
      <w:widowControl w:val="0"/>
      <w:tabs>
        <w:tab w:val="left" w:pos="5760"/>
        <w:tab w:val="left" w:pos="6480"/>
        <w:tab w:val="left" w:pos="7200"/>
        <w:tab w:val="left" w:pos="7920"/>
        <w:tab w:val="left" w:pos="8640"/>
        <w:tab w:val="right" w:pos="9358"/>
      </w:tabs>
      <w:autoSpaceDE w:val="0"/>
      <w:autoSpaceDN w:val="0"/>
      <w:adjustRightInd w:val="0"/>
      <w:spacing w:after="0" w:line="240" w:lineRule="auto"/>
      <w:ind w:left="5760"/>
      <w:jc w:val="both"/>
    </w:pPr>
    <w:rPr>
      <w:rFonts w:ascii="Century Schoolbook" w:hAnsi="Century Schoolbook"/>
      <w:sz w:val="24"/>
      <w:szCs w:val="24"/>
    </w:rPr>
  </w:style>
  <w:style w:type="paragraph" w:customStyle="1" w:styleId="18">
    <w:name w:val="_18"/>
    <w:uiPriority w:val="99"/>
    <w:pPr>
      <w:widowControl w:val="0"/>
      <w:tabs>
        <w:tab w:val="left" w:pos="6480"/>
        <w:tab w:val="left" w:pos="7200"/>
        <w:tab w:val="left" w:pos="7920"/>
        <w:tab w:val="left" w:pos="8640"/>
        <w:tab w:val="right" w:pos="9358"/>
      </w:tabs>
      <w:autoSpaceDE w:val="0"/>
      <w:autoSpaceDN w:val="0"/>
      <w:adjustRightInd w:val="0"/>
      <w:spacing w:after="0" w:line="240" w:lineRule="auto"/>
      <w:ind w:left="6480"/>
      <w:jc w:val="both"/>
    </w:pPr>
    <w:rPr>
      <w:rFonts w:ascii="Century Schoolbook" w:hAnsi="Century Schoolbook"/>
      <w:sz w:val="24"/>
      <w:szCs w:val="24"/>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jc w:val="both"/>
    </w:pPr>
    <w:rPr>
      <w:rFonts w:ascii="Century Schoolbook" w:hAnsi="Century Schoolbook"/>
      <w:sz w:val="24"/>
      <w:szCs w:val="24"/>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440" w:hanging="720"/>
      <w:jc w:val="both"/>
    </w:pPr>
    <w:rPr>
      <w:rFonts w:ascii="Century Schoolbook" w:hAnsi="Century Schoolbook"/>
      <w:sz w:val="24"/>
      <w:szCs w:val="24"/>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160"/>
      <w:jc w:val="both"/>
    </w:pPr>
    <w:rPr>
      <w:rFonts w:ascii="Century Schoolbook" w:hAnsi="Century Schoolbook"/>
      <w:sz w:val="24"/>
      <w:szCs w:val="24"/>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880"/>
      <w:jc w:val="both"/>
    </w:pPr>
    <w:rPr>
      <w:rFonts w:ascii="Century Schoolbook" w:hAnsi="Century Schoolbook"/>
      <w:sz w:val="24"/>
      <w:szCs w:val="24"/>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600"/>
      <w:jc w:val="both"/>
    </w:pPr>
    <w:rPr>
      <w:rFonts w:ascii="Century Schoolbook" w:hAnsi="Century Schoolbook"/>
      <w:sz w:val="24"/>
      <w:szCs w:val="24"/>
    </w:rPr>
  </w:style>
  <w:style w:type="paragraph" w:customStyle="1" w:styleId="12">
    <w:name w:val="_12"/>
    <w:uiPriority w:val="99"/>
    <w:pPr>
      <w:widowControl w:val="0"/>
      <w:tabs>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4320"/>
      <w:jc w:val="both"/>
    </w:pPr>
    <w:rPr>
      <w:rFonts w:ascii="Century Schoolbook" w:hAnsi="Century Schoolbook"/>
      <w:sz w:val="24"/>
      <w:szCs w:val="24"/>
    </w:rPr>
  </w:style>
  <w:style w:type="paragraph" w:customStyle="1" w:styleId="11">
    <w:name w:val="_11"/>
    <w:uiPriority w:val="99"/>
    <w:pPr>
      <w:widowControl w:val="0"/>
      <w:tabs>
        <w:tab w:val="left" w:pos="5040"/>
        <w:tab w:val="left" w:pos="5760"/>
        <w:tab w:val="left" w:pos="6480"/>
        <w:tab w:val="left" w:pos="7200"/>
        <w:tab w:val="left" w:pos="7920"/>
        <w:tab w:val="left" w:pos="8640"/>
        <w:tab w:val="right" w:pos="9358"/>
      </w:tabs>
      <w:autoSpaceDE w:val="0"/>
      <w:autoSpaceDN w:val="0"/>
      <w:adjustRightInd w:val="0"/>
      <w:spacing w:after="0" w:line="240" w:lineRule="auto"/>
      <w:ind w:left="5040"/>
      <w:jc w:val="both"/>
    </w:pPr>
    <w:rPr>
      <w:rFonts w:ascii="Century Schoolbook" w:hAnsi="Century Schoolbook"/>
      <w:sz w:val="24"/>
      <w:szCs w:val="24"/>
    </w:rPr>
  </w:style>
  <w:style w:type="paragraph" w:customStyle="1" w:styleId="10">
    <w:name w:val="_10"/>
    <w:uiPriority w:val="99"/>
    <w:pPr>
      <w:widowControl w:val="0"/>
      <w:tabs>
        <w:tab w:val="left" w:pos="5760"/>
        <w:tab w:val="left" w:pos="6480"/>
        <w:tab w:val="left" w:pos="7200"/>
        <w:tab w:val="left" w:pos="7920"/>
        <w:tab w:val="left" w:pos="8640"/>
        <w:tab w:val="right" w:pos="9358"/>
      </w:tabs>
      <w:autoSpaceDE w:val="0"/>
      <w:autoSpaceDN w:val="0"/>
      <w:adjustRightInd w:val="0"/>
      <w:spacing w:after="0" w:line="240" w:lineRule="auto"/>
      <w:ind w:left="5760"/>
      <w:jc w:val="both"/>
    </w:pPr>
    <w:rPr>
      <w:rFonts w:ascii="Century Schoolbook" w:hAnsi="Century Schoolbook"/>
      <w:sz w:val="24"/>
      <w:szCs w:val="24"/>
    </w:rPr>
  </w:style>
  <w:style w:type="paragraph" w:customStyle="1" w:styleId="9">
    <w:name w:val="_9"/>
    <w:uiPriority w:val="99"/>
    <w:pPr>
      <w:widowControl w:val="0"/>
      <w:tabs>
        <w:tab w:val="left" w:pos="6480"/>
        <w:tab w:val="left" w:pos="7200"/>
        <w:tab w:val="left" w:pos="7920"/>
        <w:tab w:val="left" w:pos="8640"/>
        <w:tab w:val="right" w:pos="9358"/>
      </w:tabs>
      <w:autoSpaceDE w:val="0"/>
      <w:autoSpaceDN w:val="0"/>
      <w:adjustRightInd w:val="0"/>
      <w:spacing w:after="0" w:line="240" w:lineRule="auto"/>
      <w:ind w:left="6480"/>
      <w:jc w:val="both"/>
    </w:pPr>
    <w:rPr>
      <w:rFonts w:ascii="Century Schoolbook" w:hAnsi="Century Schoolbook"/>
      <w:sz w:val="24"/>
      <w:szCs w:val="24"/>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jc w:val="both"/>
    </w:pPr>
    <w:rPr>
      <w:rFonts w:ascii="Century Schoolbook" w:hAnsi="Century Schoolbook"/>
      <w:sz w:val="24"/>
      <w:szCs w:val="24"/>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1440" w:hanging="720"/>
      <w:jc w:val="both"/>
    </w:pPr>
    <w:rPr>
      <w:rFonts w:ascii="Century Schoolbook" w:hAnsi="Century Schoolbook"/>
      <w:sz w:val="24"/>
      <w:szCs w:val="24"/>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160"/>
      <w:jc w:val="both"/>
    </w:pPr>
    <w:rPr>
      <w:rFonts w:ascii="Century Schoolbook" w:hAnsi="Century Schoolbook"/>
      <w:sz w:val="24"/>
      <w:szCs w:val="24"/>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2880"/>
      <w:jc w:val="both"/>
    </w:pPr>
    <w:rPr>
      <w:rFonts w:ascii="Century Schoolbook" w:hAnsi="Century Schoolbook"/>
      <w:sz w:val="24"/>
      <w:szCs w:val="24"/>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3600"/>
      <w:jc w:val="both"/>
    </w:pPr>
    <w:rPr>
      <w:rFonts w:ascii="Century Schoolbook" w:hAnsi="Century Schoolbook"/>
      <w:sz w:val="24"/>
      <w:szCs w:val="24"/>
    </w:rPr>
  </w:style>
  <w:style w:type="paragraph" w:customStyle="1" w:styleId="3">
    <w:name w:val="_3"/>
    <w:uiPriority w:val="99"/>
    <w:pPr>
      <w:widowControl w:val="0"/>
      <w:tabs>
        <w:tab w:val="left" w:pos="4320"/>
        <w:tab w:val="left" w:pos="5040"/>
        <w:tab w:val="left" w:pos="5760"/>
        <w:tab w:val="left" w:pos="6480"/>
        <w:tab w:val="left" w:pos="7200"/>
        <w:tab w:val="left" w:pos="7920"/>
        <w:tab w:val="left" w:pos="8640"/>
        <w:tab w:val="right" w:pos="9358"/>
      </w:tabs>
      <w:autoSpaceDE w:val="0"/>
      <w:autoSpaceDN w:val="0"/>
      <w:adjustRightInd w:val="0"/>
      <w:spacing w:after="0" w:line="240" w:lineRule="auto"/>
      <w:ind w:left="4320"/>
      <w:jc w:val="both"/>
    </w:pPr>
    <w:rPr>
      <w:rFonts w:ascii="Century Schoolbook" w:hAnsi="Century Schoolbook"/>
      <w:sz w:val="24"/>
      <w:szCs w:val="24"/>
    </w:rPr>
  </w:style>
  <w:style w:type="paragraph" w:customStyle="1" w:styleId="2">
    <w:name w:val="_2"/>
    <w:uiPriority w:val="99"/>
    <w:pPr>
      <w:widowControl w:val="0"/>
      <w:tabs>
        <w:tab w:val="left" w:pos="5040"/>
        <w:tab w:val="left" w:pos="5760"/>
        <w:tab w:val="left" w:pos="6480"/>
        <w:tab w:val="left" w:pos="7200"/>
        <w:tab w:val="left" w:pos="7920"/>
        <w:tab w:val="left" w:pos="8640"/>
        <w:tab w:val="right" w:pos="9358"/>
      </w:tabs>
      <w:autoSpaceDE w:val="0"/>
      <w:autoSpaceDN w:val="0"/>
      <w:adjustRightInd w:val="0"/>
      <w:spacing w:after="0" w:line="240" w:lineRule="auto"/>
      <w:ind w:left="5040"/>
      <w:jc w:val="both"/>
    </w:pPr>
    <w:rPr>
      <w:rFonts w:ascii="Century Schoolbook" w:hAnsi="Century Schoolbook"/>
      <w:sz w:val="24"/>
      <w:szCs w:val="24"/>
    </w:rPr>
  </w:style>
  <w:style w:type="paragraph" w:customStyle="1" w:styleId="1">
    <w:name w:val="_1"/>
    <w:uiPriority w:val="99"/>
    <w:pPr>
      <w:widowControl w:val="0"/>
      <w:tabs>
        <w:tab w:val="left" w:pos="5760"/>
        <w:tab w:val="left" w:pos="6480"/>
        <w:tab w:val="left" w:pos="7200"/>
        <w:tab w:val="left" w:pos="7920"/>
        <w:tab w:val="left" w:pos="8640"/>
        <w:tab w:val="right" w:pos="9358"/>
      </w:tabs>
      <w:autoSpaceDE w:val="0"/>
      <w:autoSpaceDN w:val="0"/>
      <w:adjustRightInd w:val="0"/>
      <w:spacing w:after="0" w:line="240" w:lineRule="auto"/>
      <w:ind w:left="5760"/>
      <w:jc w:val="both"/>
    </w:pPr>
    <w:rPr>
      <w:rFonts w:ascii="Century Schoolbook" w:hAnsi="Century Schoolbook"/>
      <w:sz w:val="24"/>
      <w:szCs w:val="24"/>
    </w:rPr>
  </w:style>
  <w:style w:type="paragraph" w:customStyle="1" w:styleId="a">
    <w:name w:val="_"/>
    <w:uiPriority w:val="99"/>
    <w:pPr>
      <w:widowControl w:val="0"/>
      <w:tabs>
        <w:tab w:val="left" w:pos="6480"/>
        <w:tab w:val="left" w:pos="7200"/>
        <w:tab w:val="left" w:pos="7920"/>
        <w:tab w:val="left" w:pos="8640"/>
        <w:tab w:val="right" w:pos="9358"/>
      </w:tabs>
      <w:autoSpaceDE w:val="0"/>
      <w:autoSpaceDN w:val="0"/>
      <w:adjustRightInd w:val="0"/>
      <w:spacing w:after="0" w:line="240" w:lineRule="auto"/>
      <w:ind w:left="6480"/>
      <w:jc w:val="both"/>
    </w:pPr>
    <w:rPr>
      <w:rFonts w:ascii="Century Schoolbook" w:hAnsi="Century Schoolbook"/>
      <w:sz w:val="24"/>
      <w:szCs w:val="24"/>
    </w:rPr>
  </w:style>
  <w:style w:type="character" w:customStyle="1" w:styleId="DefaultPara1">
    <w:name w:val="Default Para1"/>
    <w:uiPriority w:val="99"/>
  </w:style>
  <w:style w:type="character" w:styleId="PageNumber">
    <w:name w:val="page number"/>
    <w:basedOn w:val="DefaultParagraphFont"/>
    <w:uiPriority w:val="99"/>
  </w:style>
  <w:style w:type="paragraph" w:styleId="Header">
    <w:name w:val="header"/>
    <w:basedOn w:val="Normal"/>
    <w:link w:val="HeaderChar"/>
    <w:uiPriority w:val="99"/>
    <w:pPr>
      <w:tabs>
        <w:tab w:val="center" w:pos="4320"/>
        <w:tab w:val="right" w:pos="8640"/>
        <w:tab w:val="right" w:pos="9358"/>
      </w:tabs>
      <w:jc w:val="both"/>
    </w:pPr>
    <w:rPr>
      <w:sz w:val="24"/>
      <w:szCs w:val="24"/>
    </w:rPr>
  </w:style>
  <w:style w:type="character" w:customStyle="1" w:styleId="HeaderChar">
    <w:name w:val="Header Char"/>
    <w:basedOn w:val="DefaultParagraphFont"/>
    <w:link w:val="Header"/>
    <w:uiPriority w:val="99"/>
    <w:semiHidden/>
    <w:rPr>
      <w:rFonts w:ascii="Century Schoolbook" w:hAnsi="Century Schoolbook"/>
      <w:sz w:val="20"/>
      <w:szCs w:val="20"/>
    </w:rPr>
  </w:style>
  <w:style w:type="character" w:customStyle="1" w:styleId="CommentRefe">
    <w:name w:val="Comment Refe"/>
    <w:uiPriority w:val="99"/>
    <w:rPr>
      <w:sz w:val="16"/>
      <w:szCs w:val="16"/>
    </w:rPr>
  </w:style>
  <w:style w:type="paragraph" w:customStyle="1" w:styleId="CommentTex1">
    <w:name w:val="Comment Tex1"/>
    <w:uiPriority w:val="99"/>
    <w:pPr>
      <w:widowControl w:val="0"/>
      <w:autoSpaceDE w:val="0"/>
      <w:autoSpaceDN w:val="0"/>
      <w:adjustRightInd w:val="0"/>
      <w:spacing w:after="0" w:line="240" w:lineRule="auto"/>
    </w:pPr>
    <w:rPr>
      <w:rFonts w:ascii="Century Schoolbook" w:hAnsi="Century Schoolbook"/>
      <w:sz w:val="20"/>
      <w:szCs w:val="20"/>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entury Schoolbook" w:hAnsi="Century Schoolbook"/>
      <w:sz w:val="20"/>
      <w:szCs w:val="20"/>
    </w:rPr>
  </w:style>
  <w:style w:type="character" w:customStyle="1" w:styleId="CommentSubj">
    <w:name w:val="Comment Subj"/>
    <w:uiPriority w:val="99"/>
    <w:rPr>
      <w:b/>
      <w:bC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noteref">
    <w:name w:val="footnote ref"/>
    <w:uiPriority w:val="99"/>
    <w:rPr>
      <w:vertAlign w:val="superscript"/>
    </w:rPr>
  </w:style>
  <w:style w:type="paragraph" w:customStyle="1" w:styleId="footnotetex">
    <w:name w:val="footnote tex"/>
    <w:uiPriority w:val="99"/>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otnoteTe1">
    <w:name w:val="Footnote Te1"/>
    <w:uiPriority w:val="99"/>
    <w:rPr>
      <w:rFonts w:ascii="Times New Roman" w:hAnsi="Times New Roman" w:cs="Times New Roman"/>
    </w:rPr>
  </w:style>
  <w:style w:type="paragraph" w:customStyle="1" w:styleId="a0">
    <w:name w:val="∙"/>
    <w:uiPriority w:val="99"/>
    <w:pPr>
      <w:widowControl w:val="0"/>
      <w:autoSpaceDE w:val="0"/>
      <w:autoSpaceDN w:val="0"/>
      <w:adjustRightInd w:val="0"/>
      <w:spacing w:after="0" w:line="240" w:lineRule="auto"/>
      <w:ind w:left="-1440"/>
      <w:jc w:val="both"/>
    </w:pPr>
    <w:rPr>
      <w:rFonts w:ascii="Century Schoolbook" w:hAnsi="Century Schoolbook"/>
      <w:sz w:val="24"/>
      <w:szCs w:val="24"/>
    </w:rPr>
  </w:style>
  <w:style w:type="character" w:customStyle="1" w:styleId="SYSHYPERTEXT">
    <w:name w:val="SYS_HYPERTEX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7.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1.xml"/><Relationship Id="rId3" Type="http://schemas.openxmlformats.org/officeDocument/2006/relationships/webSettings" Target="webSettings.xml"/><Relationship Id="rId21" Type="http://schemas.openxmlformats.org/officeDocument/2006/relationships/footer" Target="footer14.xml"/><Relationship Id="rId34" Type="http://schemas.openxmlformats.org/officeDocument/2006/relationships/footer" Target="footer26.xml"/><Relationship Id="rId42" Type="http://schemas.openxmlformats.org/officeDocument/2006/relationships/footer" Target="footer34.xml"/><Relationship Id="rId47" Type="http://schemas.openxmlformats.org/officeDocument/2006/relationships/theme" Target="theme/theme1.xml"/><Relationship Id="rId7" Type="http://schemas.openxmlformats.org/officeDocument/2006/relationships/footer" Target="footer2.xml"/><Relationship Id="rId12" Type="http://schemas.openxmlformats.org/officeDocument/2006/relationships/footer" Target="footer6.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hyperlink" Target="https://archive.org/stream/generalexplanati00jcs3376/generalexplanati00jcs3376_djvu.txt" TargetMode="External"/><Relationship Id="rId38" Type="http://schemas.openxmlformats.org/officeDocument/2006/relationships/footer" Target="footer30.xm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footer" Target="footer22.xml"/><Relationship Id="rId41" Type="http://schemas.openxmlformats.org/officeDocument/2006/relationships/footer" Target="footer33.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5.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29.xml"/><Relationship Id="rId40" Type="http://schemas.openxmlformats.org/officeDocument/2006/relationships/footer" Target="footer32.xml"/><Relationship Id="rId45" Type="http://schemas.openxmlformats.org/officeDocument/2006/relationships/footer" Target="footer37.xml"/><Relationship Id="rId5" Type="http://schemas.openxmlformats.org/officeDocument/2006/relationships/endnotes" Target="endnotes.xml"/><Relationship Id="rId15" Type="http://schemas.openxmlformats.org/officeDocument/2006/relationships/hyperlink" Target="https://www.irs.gov/privacy-disclosure/foia-library" TargetMode="Externa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8.xml"/><Relationship Id="rId10" Type="http://schemas.openxmlformats.org/officeDocument/2006/relationships/footer" Target="footer4.xml"/><Relationship Id="rId19" Type="http://schemas.openxmlformats.org/officeDocument/2006/relationships/footer" Target="footer12.xml"/><Relationship Id="rId31" Type="http://schemas.openxmlformats.org/officeDocument/2006/relationships/footer" Target="footer24.xml"/><Relationship Id="rId44" Type="http://schemas.openxmlformats.org/officeDocument/2006/relationships/footer" Target="footer36.xml"/><Relationship Id="rId4" Type="http://schemas.openxmlformats.org/officeDocument/2006/relationships/footnotes" Target="footnotes.xml"/><Relationship Id="rId9" Type="http://schemas.openxmlformats.org/officeDocument/2006/relationships/hyperlink" Target="https://archive.org/stream/generalexplanati00jcs3376/generalexplanati00jcs3376_djvu.txt" TargetMode="External"/><Relationship Id="rId14" Type="http://schemas.openxmlformats.org/officeDocument/2006/relationships/footer" Target="footer8.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7.xml"/><Relationship Id="rId43" Type="http://schemas.openxmlformats.org/officeDocument/2006/relationships/footer" Target="footer35.xml"/></Relationships>
</file>

<file path=word/_rels/footnotes.xml.rels><?xml version="1.0" encoding="UTF-8" standalone="yes"?>
<Relationships xmlns="http://schemas.openxmlformats.org/package/2006/relationships"><Relationship Id="rId1" Type="http://schemas.openxmlformats.org/officeDocument/2006/relationships/hyperlink" Target="https://www.jct.gov/operations/role-of-j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45</Pages>
  <Words>7603</Words>
  <Characters>41251</Characters>
  <Application>Microsoft Office Word</Application>
  <DocSecurity>0</DocSecurity>
  <Lines>343</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Goodman</dc:creator>
  <cp:keywords/>
  <dc:description/>
  <cp:lastModifiedBy>ConH</cp:lastModifiedBy>
  <cp:revision>4</cp:revision>
  <dcterms:created xsi:type="dcterms:W3CDTF">2021-03-24T00:06:00Z</dcterms:created>
  <dcterms:modified xsi:type="dcterms:W3CDTF">2021-03-24T00:11:00Z</dcterms:modified>
</cp:coreProperties>
</file>